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r>
        <w:rPr>
          <w:noProof/>
        </w:rPr>
        <w:drawing>
          <wp:anchor distT="0" distB="0" distL="114300" distR="114300" simplePos="0" relativeHeight="251657728" behindDoc="1" locked="0" layoutInCell="1" allowOverlap="1">
            <wp:simplePos x="0" y="0"/>
            <wp:positionH relativeFrom="column">
              <wp:posOffset>2282825</wp:posOffset>
            </wp:positionH>
            <wp:positionV relativeFrom="paragraph">
              <wp:posOffset>-1383665</wp:posOffset>
            </wp:positionV>
            <wp:extent cx="4572000" cy="4533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33265"/>
                    </a:xfrm>
                    <a:prstGeom prst="rect">
                      <a:avLst/>
                    </a:prstGeom>
                    <a:noFill/>
                  </pic:spPr>
                </pic:pic>
              </a:graphicData>
            </a:graphic>
            <wp14:sizeRelH relativeFrom="page">
              <wp14:pctWidth>0</wp14:pctWidth>
            </wp14:sizeRelH>
            <wp14:sizeRelV relativeFrom="page">
              <wp14:pctHeight>0</wp14:pctHeight>
            </wp14:sizeRelV>
          </wp:anchor>
        </w:drawing>
      </w:r>
      <w:r>
        <w:softHyphen/>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Arial" w:hAnsi="Arial" w:cs="Arial"/>
          <w:sz w:val="50"/>
          <w:szCs w:val="50"/>
          <w:lang w:eastAsia="ja-JP"/>
        </w:rPr>
        <w:t>Fiscal Year 2016 Annual Report of the ACM U.S. Public Policy Council</w:t>
      </w:r>
    </w:p>
    <w:p>
      <w:pPr>
        <w:rPr>
          <w:lang w:eastAsia="ja-JP"/>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36"/>
          <w:szCs w:val="36"/>
          <w:lang w:eastAsia="ja-JP"/>
        </w:rPr>
      </w:pPr>
      <w:r>
        <w:rPr>
          <w:rFonts w:ascii="Arial" w:hAnsi="Arial" w:cs="Arial"/>
          <w:i/>
          <w:iCs/>
          <w:sz w:val="36"/>
          <w:szCs w:val="36"/>
          <w:lang w:eastAsia="ja-JP"/>
        </w:rPr>
        <w:t>For the Period July 1, 2015 – June 30, 2016</w:t>
      </w:r>
    </w:p>
    <w:p>
      <w:pPr>
        <w:tabs>
          <w:tab w:val="left" w:pos="5600"/>
        </w:tabs>
        <w:rPr>
          <w:lang w:eastAsia="ja-JP"/>
        </w:rPr>
      </w:pPr>
      <w:r>
        <w:rPr>
          <w:lang w:eastAsia="ja-JP"/>
        </w:rPr>
        <w:tab/>
      </w:r>
    </w:p>
    <w:p>
      <w:pPr>
        <w:rPr>
          <w:lang w:eastAsia="ja-JP"/>
        </w:rPr>
      </w:pPr>
      <w:r>
        <w:rPr>
          <w:lang w:eastAsia="ja-JP"/>
        </w:rPr>
        <w:t xml:space="preserve"> </w:t>
      </w:r>
    </w:p>
    <w:p>
      <w:pPr>
        <w:rPr>
          <w:sz w:val="32"/>
          <w:lang w:eastAsia="ja-JP"/>
        </w:rPr>
      </w:pPr>
    </w:p>
    <w:p>
      <w:pPr>
        <w:rPr>
          <w:sz w:val="32"/>
          <w:lang w:eastAsia="ja-JP"/>
        </w:rPr>
      </w:pPr>
      <w:r>
        <w:rPr>
          <w:sz w:val="32"/>
          <w:lang w:eastAsia="ja-JP"/>
        </w:rPr>
        <w:t>Submitted by</w:t>
      </w:r>
    </w:p>
    <w:p>
      <w:pPr>
        <w:rPr>
          <w:sz w:val="32"/>
          <w:lang w:eastAsia="ja-JP"/>
        </w:rPr>
      </w:pPr>
      <w:r>
        <w:rPr>
          <w:sz w:val="32"/>
          <w:lang w:eastAsia="ja-JP"/>
        </w:rPr>
        <w:t>Eugene Spafford, Chair, FY 2016</w:t>
      </w:r>
    </w:p>
    <w:p>
      <w:pPr>
        <w:rPr>
          <w:sz w:val="32"/>
          <w:lang w:eastAsia="ja-JP"/>
        </w:rPr>
      </w:pPr>
      <w:r>
        <w:rPr>
          <w:sz w:val="32"/>
          <w:lang w:eastAsia="ja-JP"/>
        </w:rPr>
        <w:t>Stuart Shapiro, Chair, FY 2017</w:t>
      </w:r>
      <w:r>
        <w:rPr>
          <w:sz w:val="32"/>
          <w:lang w:eastAsia="ja-JP"/>
        </w:rPr>
        <w:br w:type="textWrapping" w:clear="all"/>
      </w:r>
    </w:p>
    <w:p>
      <w:pPr>
        <w:rPr>
          <w:sz w:val="32"/>
          <w:lang w:eastAsia="ja-JP"/>
        </w:rPr>
      </w:pPr>
    </w:p>
    <w:p>
      <w:pPr>
        <w:rPr>
          <w:lang w:eastAsia="ja-JP"/>
        </w:rPr>
      </w:pPr>
    </w:p>
    <w:p>
      <w:pPr>
        <w:rPr>
          <w:lang w:eastAsia="ja-JP"/>
        </w:rPr>
      </w:pPr>
    </w:p>
    <w:p/>
    <w:p/>
    <w:p>
      <w:pPr>
        <w:sectPr>
          <w:headerReference w:type="default" r:id="rId10"/>
          <w:footerReference w:type="default" r:id="rId11"/>
          <w:pgSz w:w="12240" w:h="15840"/>
          <w:pgMar w:top="2160" w:right="1440" w:bottom="1440" w:left="1440" w:header="0" w:footer="720" w:gutter="0"/>
          <w:cols w:space="720"/>
          <w:docGrid w:linePitch="326"/>
        </w:sectPr>
      </w:pPr>
      <w:r>
        <w:t xml:space="preserve"> </w:t>
      </w:r>
    </w:p>
    <w:p>
      <w:pPr>
        <w:pStyle w:val="Appendix-Committee"/>
        <w:rPr>
          <w:lang w:eastAsia="ja-JP"/>
        </w:rPr>
      </w:pPr>
      <w:r>
        <w:rPr>
          <w:b/>
          <w:sz w:val="32"/>
          <w:lang w:eastAsia="ja-JP"/>
        </w:rPr>
        <w:lastRenderedPageBreak/>
        <w:t>ANNUAL REPORT</w:t>
      </w:r>
      <w:r>
        <w:rPr>
          <w:b/>
          <w:lang w:eastAsia="ja-JP"/>
        </w:rPr>
        <w:br w:type="textWrapping" w:clear="all"/>
      </w:r>
      <w:r>
        <w:rPr>
          <w:lang w:eastAsia="ja-JP"/>
        </w:rPr>
        <w:t>of the U.S. Public Policy Council of the Association for Computing Machinery</w:t>
      </w:r>
    </w:p>
    <w:p>
      <w:pPr>
        <w:pStyle w:val="Appendix-Committee"/>
        <w:rPr>
          <w:lang w:eastAsia="ja-JP"/>
        </w:rPr>
      </w:pPr>
      <w:r>
        <w:rPr>
          <w:lang w:eastAsia="ja-JP"/>
        </w:rPr>
        <w:t>For the Period: July 1, 2015 – June 30, 2016</w:t>
      </w:r>
    </w:p>
    <w:p>
      <w:pPr>
        <w:rPr>
          <w:lang w:eastAsia="ja-JP"/>
        </w:rPr>
      </w:pPr>
    </w:p>
    <w:p>
      <w:pPr>
        <w:pStyle w:val="Heading1"/>
      </w:pPr>
      <w:r>
        <w:t>Basic Information</w:t>
      </w:r>
    </w:p>
    <w:p>
      <w:r>
        <w:t>The ACM U.S. Public Policy Council (USACM) is chartered as the focal point for ACM's interaction with U.S. government organizations, the computing community, and the U.S. public in all matters of U.S. public policy related to information technology and computing – except education and workforce issues, which are the responsibility of the ACM Education Policy Committee.</w:t>
      </w:r>
    </w:p>
    <w:p/>
    <w:p>
      <w:r>
        <w:t>USACM is authorized to take policy positions and has a systematic process for the development, review, and approval of such policy positions. These positions reflect the position of USACM and not necessarily that of ACM.</w:t>
      </w:r>
    </w:p>
    <w:p>
      <w:pPr>
        <w:pStyle w:val="Heading2"/>
      </w:pPr>
      <w:r>
        <w:t>Leadership</w:t>
      </w:r>
    </w:p>
    <w:p>
      <w:r>
        <w:t>USACM is governed by the USACM Council, which includes a Chair, Vice Chair, an Executive Committee, two SIG Governing Board representatives, six At Large members, former chairs of USACM, and ex officio members. The ACM President appoints the USACM Chair for a term of two years, beginning July 1 in even-numbered years. The ACM President may appoint Co</w:t>
      </w:r>
      <w:r>
        <w:noBreakHyphen/>
        <w:t xml:space="preserve">Chairs. The USACM Chair, in consultation with the ACM President, appoints the Vice Chair or Co-Vice Chairs. The USACM Executive Committee is composed of the Chair, Vice Chair, </w:t>
      </w:r>
      <w:proofErr w:type="gramStart"/>
      <w:r>
        <w:t>Immediate</w:t>
      </w:r>
      <w:proofErr w:type="gramEnd"/>
      <w:r>
        <w:t xml:space="preserve"> Past Chair, the SIG Board representative with the longest tenure in USACM, four additional USACM Council members selected by the Chair, and ex officio members. </w:t>
      </w:r>
    </w:p>
    <w:p/>
    <w:p>
      <w:pPr>
        <w:tabs>
          <w:tab w:val="left" w:pos="360"/>
        </w:tabs>
      </w:pPr>
      <w:r>
        <w:tab/>
        <w:t>USACM EXECUTIVE COMMITTEE MEMBERS (for FY 2016 annual report)</w:t>
      </w:r>
    </w:p>
    <w:p>
      <w:pPr>
        <w:numPr>
          <w:ilvl w:val="0"/>
          <w:numId w:val="43"/>
        </w:numPr>
      </w:pPr>
      <w:r>
        <w:t>Eugene Spafford (USACM Chair</w:t>
      </w:r>
      <w:bookmarkStart w:id="1" w:name="OLE_LINK4"/>
      <w:bookmarkStart w:id="2" w:name="OLE_LINK3"/>
      <w:r>
        <w:t>), term expires 6/30/16</w:t>
      </w:r>
    </w:p>
    <w:p>
      <w:pPr>
        <w:numPr>
          <w:ilvl w:val="0"/>
          <w:numId w:val="43"/>
        </w:numPr>
      </w:pPr>
      <w:r>
        <w:t>Stuart Shapiro (USACM Co-Vice Chair), term expires 6/30/16</w:t>
      </w:r>
    </w:p>
    <w:bookmarkEnd w:id="1"/>
    <w:bookmarkEnd w:id="2"/>
    <w:p>
      <w:pPr>
        <w:numPr>
          <w:ilvl w:val="0"/>
          <w:numId w:val="43"/>
        </w:numPr>
      </w:pPr>
      <w:r>
        <w:t>Jeremy Epstein (USACM Co-Vice Chair), term expires 6/30/16</w:t>
      </w:r>
    </w:p>
    <w:p>
      <w:pPr>
        <w:numPr>
          <w:ilvl w:val="0"/>
          <w:numId w:val="43"/>
        </w:numPr>
      </w:pPr>
      <w:r>
        <w:t>Barbara Simons (Acting Immediate Past Chair), term expires 6/30/16</w:t>
      </w:r>
    </w:p>
    <w:p>
      <w:pPr>
        <w:numPr>
          <w:ilvl w:val="0"/>
          <w:numId w:val="43"/>
        </w:numPr>
      </w:pPr>
      <w:r>
        <w:t>Jeanna Matthews (SIG Representative), EC term expires 6/30/16</w:t>
      </w:r>
    </w:p>
    <w:p>
      <w:pPr>
        <w:numPr>
          <w:ilvl w:val="0"/>
          <w:numId w:val="43"/>
        </w:numPr>
      </w:pPr>
      <w:r>
        <w:t>Juan Gilbert (Voting Committee Chair), EC term expires 12/31/16</w:t>
      </w:r>
    </w:p>
    <w:p>
      <w:pPr>
        <w:numPr>
          <w:ilvl w:val="0"/>
          <w:numId w:val="43"/>
        </w:numPr>
      </w:pPr>
      <w:r>
        <w:t>Sarah Granger (At Large Member), EC term expires 12/31/16</w:t>
      </w:r>
    </w:p>
    <w:p>
      <w:pPr>
        <w:numPr>
          <w:ilvl w:val="0"/>
          <w:numId w:val="43"/>
        </w:numPr>
      </w:pPr>
      <w:r>
        <w:t>Harry Hochheiser (Accessibility Committee Chair), EC term expires 12/31/16</w:t>
      </w:r>
    </w:p>
    <w:p>
      <w:pPr>
        <w:numPr>
          <w:ilvl w:val="0"/>
          <w:numId w:val="43"/>
        </w:numPr>
      </w:pPr>
      <w:r>
        <w:t>Jonathan M. Smith (At Large Member), EC term expires 12/31/16</w:t>
      </w:r>
    </w:p>
    <w:p>
      <w:pPr>
        <w:numPr>
          <w:ilvl w:val="0"/>
          <w:numId w:val="43"/>
        </w:numPr>
      </w:pPr>
      <w:r>
        <w:t>Jeffrey Forbes (ACM Education Policy Committee Chair), ex officio</w:t>
      </w:r>
    </w:p>
    <w:p>
      <w:pPr>
        <w:numPr>
          <w:ilvl w:val="0"/>
          <w:numId w:val="43"/>
        </w:numPr>
      </w:pPr>
      <w:r>
        <w:t>Fabrizio Gagliardi (ACM Europe Policy Committee Chair), ex officio</w:t>
      </w:r>
    </w:p>
    <w:p>
      <w:pPr>
        <w:numPr>
          <w:ilvl w:val="0"/>
          <w:numId w:val="43"/>
        </w:numPr>
      </w:pPr>
      <w:r>
        <w:t>Alexander Wolf (ACM President), ex officio</w:t>
      </w:r>
    </w:p>
    <w:p>
      <w:pPr>
        <w:numPr>
          <w:ilvl w:val="0"/>
          <w:numId w:val="43"/>
        </w:numPr>
      </w:pPr>
      <w:r>
        <w:t>Robert B. Schnabel (ACM Executive Director and CEO), ex officio</w:t>
      </w:r>
    </w:p>
    <w:p>
      <w:pPr>
        <w:numPr>
          <w:ilvl w:val="0"/>
          <w:numId w:val="43"/>
        </w:numPr>
      </w:pPr>
      <w:r>
        <w:t>Renee Dopplick (ACM Director of Public Policy), ex officio</w:t>
      </w:r>
    </w:p>
    <w:p>
      <w:pPr>
        <w:tabs>
          <w:tab w:val="left" w:pos="360"/>
        </w:tabs>
      </w:pPr>
      <w:r>
        <w:br w:type="page"/>
      </w:r>
    </w:p>
    <w:p>
      <w:pPr>
        <w:tabs>
          <w:tab w:val="left" w:pos="360"/>
        </w:tabs>
      </w:pPr>
      <w:r>
        <w:tab/>
        <w:t>USACM COUNCIL MEMBERS (for FY 2016 annual report)</w:t>
      </w:r>
    </w:p>
    <w:p>
      <w:pPr>
        <w:numPr>
          <w:ilvl w:val="0"/>
          <w:numId w:val="43"/>
        </w:numPr>
      </w:pPr>
      <w:r>
        <w:t>Eugene Spafford (USACM Chair), term expires 6/30/16</w:t>
      </w:r>
    </w:p>
    <w:p>
      <w:pPr>
        <w:numPr>
          <w:ilvl w:val="0"/>
          <w:numId w:val="43"/>
        </w:numPr>
      </w:pPr>
      <w:r>
        <w:t>Stuart Shapiro (USACM Co-Vice Chair), term expires 6/30/16</w:t>
      </w:r>
    </w:p>
    <w:p>
      <w:pPr>
        <w:numPr>
          <w:ilvl w:val="0"/>
          <w:numId w:val="43"/>
        </w:numPr>
      </w:pPr>
      <w:r>
        <w:t>Jeremy Epstein (USACM Co-Vice Chair), term expires 6/30/16</w:t>
      </w:r>
    </w:p>
    <w:p>
      <w:pPr>
        <w:numPr>
          <w:ilvl w:val="0"/>
          <w:numId w:val="43"/>
        </w:numPr>
      </w:pPr>
      <w:r>
        <w:t>Chris Bronk (Digital Governance Chair)</w:t>
      </w:r>
    </w:p>
    <w:p>
      <w:pPr>
        <w:numPr>
          <w:ilvl w:val="0"/>
          <w:numId w:val="43"/>
        </w:numPr>
      </w:pPr>
      <w:r>
        <w:t>Brian Dean (Privacy Committee)</w:t>
      </w:r>
    </w:p>
    <w:p>
      <w:pPr>
        <w:numPr>
          <w:ilvl w:val="0"/>
          <w:numId w:val="43"/>
        </w:numPr>
      </w:pPr>
      <w:r>
        <w:t>Juan Gilbert (Voting Committee Chair)</w:t>
      </w:r>
    </w:p>
    <w:p>
      <w:pPr>
        <w:numPr>
          <w:ilvl w:val="0"/>
          <w:numId w:val="43"/>
        </w:numPr>
      </w:pPr>
      <w:r>
        <w:t>Andrew Grosso (Law Committee Chair)</w:t>
      </w:r>
    </w:p>
    <w:p>
      <w:pPr>
        <w:numPr>
          <w:ilvl w:val="0"/>
          <w:numId w:val="43"/>
        </w:numPr>
      </w:pPr>
      <w:r>
        <w:t>Harry Hochheiser (Accessibility Committee Chair)</w:t>
      </w:r>
    </w:p>
    <w:p>
      <w:pPr>
        <w:numPr>
          <w:ilvl w:val="0"/>
          <w:numId w:val="43"/>
        </w:numPr>
      </w:pPr>
      <w:r>
        <w:t>Paul Hyland (Intellectual Property Committee Chair)</w:t>
      </w:r>
    </w:p>
    <w:p>
      <w:pPr>
        <w:numPr>
          <w:ilvl w:val="0"/>
          <w:numId w:val="43"/>
        </w:numPr>
      </w:pPr>
      <w:r>
        <w:t>Alec Yasinsac (Security Committee Chair)</w:t>
      </w:r>
    </w:p>
    <w:p>
      <w:pPr>
        <w:numPr>
          <w:ilvl w:val="0"/>
          <w:numId w:val="43"/>
        </w:numPr>
      </w:pPr>
      <w:r>
        <w:t>Jeanna Matthews (SIG Representative)</w:t>
      </w:r>
    </w:p>
    <w:p>
      <w:pPr>
        <w:numPr>
          <w:ilvl w:val="0"/>
          <w:numId w:val="43"/>
        </w:numPr>
      </w:pPr>
      <w:r>
        <w:t>Flo Appel (SIG Representative)</w:t>
      </w:r>
    </w:p>
    <w:p>
      <w:pPr>
        <w:numPr>
          <w:ilvl w:val="0"/>
          <w:numId w:val="43"/>
        </w:numPr>
      </w:pPr>
      <w:r>
        <w:t>Geoff Cohen (At Large), term expires 12/31/16</w:t>
      </w:r>
    </w:p>
    <w:p>
      <w:pPr>
        <w:numPr>
          <w:ilvl w:val="0"/>
          <w:numId w:val="43"/>
        </w:numPr>
      </w:pPr>
      <w:r>
        <w:t>Sarah Granger (At Large), term expires 12/31/16</w:t>
      </w:r>
    </w:p>
    <w:p>
      <w:pPr>
        <w:numPr>
          <w:ilvl w:val="0"/>
          <w:numId w:val="43"/>
        </w:numPr>
      </w:pPr>
      <w:r>
        <w:t>Jim Hendler (At Large), term expires 12/31/16</w:t>
      </w:r>
    </w:p>
    <w:p>
      <w:pPr>
        <w:numPr>
          <w:ilvl w:val="0"/>
          <w:numId w:val="43"/>
        </w:numPr>
      </w:pPr>
      <w:r>
        <w:t>Jean Camp (At Large), term expires 12/31/17</w:t>
      </w:r>
    </w:p>
    <w:p>
      <w:pPr>
        <w:numPr>
          <w:ilvl w:val="0"/>
          <w:numId w:val="43"/>
        </w:numPr>
      </w:pPr>
      <w:r>
        <w:t>Simson Garfinkel (At Large), began 1/1/16; term expires 12/31/17</w:t>
      </w:r>
    </w:p>
    <w:p>
      <w:pPr>
        <w:numPr>
          <w:ilvl w:val="0"/>
          <w:numId w:val="43"/>
        </w:numPr>
      </w:pPr>
      <w:r>
        <w:t>Jonathan M. Smith (At Large), term expires 12/31/17</w:t>
      </w:r>
    </w:p>
    <w:p>
      <w:pPr>
        <w:numPr>
          <w:ilvl w:val="0"/>
          <w:numId w:val="43"/>
        </w:numPr>
      </w:pPr>
      <w:r>
        <w:t>Emil Volcheck (At Large), term expired 12/31/15</w:t>
      </w:r>
    </w:p>
    <w:p>
      <w:pPr>
        <w:numPr>
          <w:ilvl w:val="0"/>
          <w:numId w:val="43"/>
        </w:numPr>
      </w:pPr>
      <w:r>
        <w:t>Charles Brownstein (Former USACM Chair)</w:t>
      </w:r>
    </w:p>
    <w:p>
      <w:pPr>
        <w:numPr>
          <w:ilvl w:val="0"/>
          <w:numId w:val="43"/>
        </w:numPr>
      </w:pPr>
      <w:r>
        <w:t>Barbara Simons (Former USACM Chair)</w:t>
      </w:r>
    </w:p>
    <w:p>
      <w:pPr>
        <w:numPr>
          <w:ilvl w:val="0"/>
          <w:numId w:val="43"/>
        </w:numPr>
      </w:pPr>
      <w:r>
        <w:t>Jeffrey Forbes (ACM Education Policy Committee Chair), ex officio</w:t>
      </w:r>
    </w:p>
    <w:p>
      <w:pPr>
        <w:numPr>
          <w:ilvl w:val="0"/>
          <w:numId w:val="43"/>
        </w:numPr>
      </w:pPr>
      <w:r>
        <w:t>Fabrizio Gagliardi (ACM Europe Policy Committee Chair), ex officio</w:t>
      </w:r>
    </w:p>
    <w:p>
      <w:pPr>
        <w:numPr>
          <w:ilvl w:val="0"/>
          <w:numId w:val="43"/>
        </w:numPr>
      </w:pPr>
      <w:r>
        <w:t>Alexander Wolf (ACM President), ex officio</w:t>
      </w:r>
    </w:p>
    <w:p>
      <w:pPr>
        <w:numPr>
          <w:ilvl w:val="0"/>
          <w:numId w:val="43"/>
        </w:numPr>
      </w:pPr>
      <w:r>
        <w:t>Robert B. Schnabel (ACM Executive Director and CEO), ex officio</w:t>
      </w:r>
    </w:p>
    <w:p>
      <w:pPr>
        <w:numPr>
          <w:ilvl w:val="0"/>
          <w:numId w:val="43"/>
        </w:numPr>
      </w:pPr>
      <w:r>
        <w:t>Renee Dopplick (ACM Director of Public Policy), ex officio</w:t>
      </w:r>
    </w:p>
    <w:p/>
    <w:p>
      <w:r>
        <w:t xml:space="preserve">The USACM Council in January 2016 approved a change to the bylaws to add the Chair of the ACM Europe Policy Committee as an ex officio member. </w:t>
      </w:r>
    </w:p>
    <w:p>
      <w:pPr>
        <w:rPr>
          <w:color w:val="0000FF"/>
        </w:rPr>
      </w:pPr>
    </w:p>
    <w:p>
      <w:r>
        <w:t xml:space="preserve">USACM members elected Jean Camp, Simson Garfinkel, and Jonathan M. Smith to serve as at-large members with a two-year term beginning with the 2016 calendar year. Emil Volcheck rotated off the USACM Council at the end of his term as elected at-large member.   </w:t>
      </w:r>
    </w:p>
    <w:p/>
    <w:p>
      <w:r>
        <w:t xml:space="preserve">Cynthia Florentino joined the ACM Public Policy staff as a Policy Analyst. </w:t>
      </w:r>
    </w:p>
    <w:p/>
    <w:p>
      <w:r>
        <w:t xml:space="preserve">The ACM office in Washington, D.C. moved to a new office at 1701 Pennsylvania Avenue, NW, Suite #300, Washington, DC 20006. </w:t>
      </w:r>
    </w:p>
    <w:p/>
    <w:p>
      <w:r>
        <w:t xml:space="preserve">A list of all USACM members is provided in Appendix H. </w:t>
      </w:r>
    </w:p>
    <w:p>
      <w:pPr>
        <w:pStyle w:val="NormalWeb"/>
        <w:rPr>
          <w:b/>
        </w:rPr>
      </w:pPr>
      <w:r>
        <w:rPr>
          <w:b/>
        </w:rPr>
        <w:br w:type="page"/>
      </w:r>
    </w:p>
    <w:p>
      <w:pPr>
        <w:pStyle w:val="NormalWeb"/>
        <w:rPr>
          <w:b/>
        </w:rPr>
      </w:pPr>
      <w:r>
        <w:rPr>
          <w:b/>
        </w:rPr>
        <w:t>USACM Recognition of USACM Chair Eugene Spafford for His Leadership</w:t>
      </w:r>
    </w:p>
    <w:p>
      <w:r>
        <w:t xml:space="preserve">At its meeting in March 2016, the USACM Council recognized Eugene "Spaf" Spafford for his 18 years of dedication and service as Chair of USACM and its predecessor, the ACM U.S. Public Policy Committee, and 20 years as a USACM member. Through the years, Spaf provided leadership, vision, and motivating energy for USACM. Under his guidance, USACM grew its positive image as an authoritative resource for policy leaders and achieved several positive impacts on public policies through its work with the White House, Congress, and the federal agencies. The Council gave Spaf a standing ovation in appreciation for his service.  </w:t>
      </w:r>
    </w:p>
    <w:p>
      <w:pPr>
        <w:pStyle w:val="Heading2"/>
      </w:pPr>
      <w:r>
        <w:t>Purpose</w:t>
      </w:r>
    </w:p>
    <w:p>
      <w:r>
        <w:t xml:space="preserve">The ACM U.S. Public Policy Council is chartered as the focal point for ACM's interaction with U.S. government organizations, the computing community, and the U.S. public in all matters of U.S. public policy related to information technology. USACM educates the public, policymakers, and the community about public policy issues that affect the development of technology or where technology influences policy issues to better inform policy decisions. USACM issues recommendations informed by technical expertise and that take into account the complete context of policy development. </w:t>
      </w:r>
    </w:p>
    <w:p/>
    <w:p>
      <w:r>
        <w:t>USACM’s contributions to public policy are drawn from the deep technical expertise of the computing community. USACM applies this technical knowledge to bring relevant scientific research, best practices, perspective, and foresight about computing and innovation to public policy issues. USACM seeks consensus positions that are firmly grounded in scientific or technology knowledge and that take into account the diverse interests of ACM membership and the computing field.</w:t>
      </w:r>
    </w:p>
    <w:p>
      <w:pPr>
        <w:pStyle w:val="Heading2"/>
      </w:pPr>
      <w:r>
        <w:t>Committees</w:t>
      </w:r>
    </w:p>
    <w:p>
      <w:r>
        <w:t>Seven committees address specific policy areas, as listed below. USACM Council members are members of all committees and working groups.</w:t>
      </w:r>
    </w:p>
    <w:p/>
    <w:p>
      <w:r>
        <w:t xml:space="preserve">The USACM Council created three new working groups to address emergent policy issues:  </w:t>
      </w:r>
    </w:p>
    <w:p/>
    <w:p>
      <w:pPr>
        <w:ind w:left="720"/>
        <w:rPr>
          <w:b/>
        </w:rPr>
      </w:pPr>
      <w:r>
        <w:rPr>
          <w:b/>
        </w:rPr>
        <w:t>Working Group on the Internet of Things</w:t>
      </w:r>
    </w:p>
    <w:p>
      <w:pPr>
        <w:ind w:left="720"/>
      </w:pPr>
      <w:r>
        <w:t>Project Leads: Alan Rea, Nick Feamster</w:t>
      </w:r>
    </w:p>
    <w:p>
      <w:pPr>
        <w:ind w:left="720"/>
      </w:pPr>
      <w:r>
        <w:t>The working group will explore the unique and emergent technical issues that Internet of Things (</w:t>
      </w:r>
      <w:proofErr w:type="spellStart"/>
      <w:r>
        <w:t>IoT</w:t>
      </w:r>
      <w:proofErr w:type="spellEnd"/>
      <w:r>
        <w:t>) and other networked systems bring to policy issues, including privacy and security challenges.</w:t>
      </w:r>
    </w:p>
    <w:p>
      <w:pPr>
        <w:ind w:left="720"/>
      </w:pPr>
    </w:p>
    <w:p>
      <w:pPr>
        <w:ind w:left="720"/>
        <w:rPr>
          <w:b/>
        </w:rPr>
      </w:pPr>
      <w:r>
        <w:rPr>
          <w:b/>
        </w:rPr>
        <w:t>Working Group on Big Data</w:t>
      </w:r>
    </w:p>
    <w:p>
      <w:pPr>
        <w:ind w:left="720"/>
      </w:pPr>
      <w:r>
        <w:t>Project Leads: Brian Dean, Paul Hyland</w:t>
      </w:r>
    </w:p>
    <w:p>
      <w:pPr>
        <w:ind w:left="720"/>
      </w:pPr>
      <w:r>
        <w:t>The working group will explore public policy issues raised in privacy, security, and decision-making surrounding the collection and use of very large datasets.</w:t>
      </w:r>
    </w:p>
    <w:p>
      <w:pPr>
        <w:ind w:left="720"/>
      </w:pPr>
    </w:p>
    <w:p>
      <w:pPr>
        <w:ind w:left="720"/>
        <w:rPr>
          <w:b/>
        </w:rPr>
      </w:pPr>
      <w:r>
        <w:rPr>
          <w:b/>
        </w:rPr>
        <w:t>Working Group on Algorithmic Accountability</w:t>
      </w:r>
    </w:p>
    <w:p>
      <w:pPr>
        <w:ind w:left="720"/>
      </w:pPr>
      <w:r>
        <w:t>Project Leads: Simson Garfinkel, Jeanna Matthews, Jonathan M. Smith</w:t>
      </w:r>
    </w:p>
    <w:p>
      <w:pPr>
        <w:ind w:left="720"/>
      </w:pPr>
      <w:r>
        <w:t>The working group will explore public policy issues related to algorithmic accountability and transparency.</w:t>
      </w:r>
    </w:p>
    <w:p/>
    <w:p>
      <w:r>
        <w:t>USACM members participated in the following standing committees:</w:t>
      </w:r>
    </w:p>
    <w:p/>
    <w:p>
      <w:pPr>
        <w:ind w:left="720"/>
        <w:rPr>
          <w:b/>
        </w:rPr>
      </w:pPr>
      <w:r>
        <w:rPr>
          <w:b/>
        </w:rPr>
        <w:t xml:space="preserve">Accessibility Committee </w:t>
      </w:r>
    </w:p>
    <w:p>
      <w:pPr>
        <w:ind w:left="720"/>
      </w:pPr>
      <w:r>
        <w:t>Chair: Harry Hochheiser</w:t>
      </w:r>
    </w:p>
    <w:p>
      <w:pPr>
        <w:ind w:left="720"/>
      </w:pPr>
      <w:r>
        <w:t>The Accessibility Committee strives to advance public policies, practices, and research in usability, accessibility, and accessible technologies.</w:t>
      </w:r>
    </w:p>
    <w:p>
      <w:pPr>
        <w:ind w:left="720"/>
      </w:pPr>
    </w:p>
    <w:p>
      <w:pPr>
        <w:ind w:left="720"/>
        <w:rPr>
          <w:b/>
        </w:rPr>
      </w:pPr>
      <w:r>
        <w:rPr>
          <w:b/>
        </w:rPr>
        <w:t xml:space="preserve">Digital Governance Committee </w:t>
      </w:r>
    </w:p>
    <w:p>
      <w:pPr>
        <w:ind w:left="720"/>
      </w:pPr>
      <w:r>
        <w:t xml:space="preserve">Chair: Chris Bronk </w:t>
      </w:r>
    </w:p>
    <w:p>
      <w:pPr>
        <w:ind w:left="720"/>
      </w:pPr>
      <w:r>
        <w:t xml:space="preserve">The Digital Governance Committee addresses online operations of government and the sustainable development of the Internet. </w:t>
      </w:r>
    </w:p>
    <w:p>
      <w:pPr>
        <w:ind w:left="720"/>
      </w:pPr>
    </w:p>
    <w:p>
      <w:pPr>
        <w:ind w:left="720"/>
      </w:pPr>
      <w:r>
        <w:rPr>
          <w:b/>
        </w:rPr>
        <w:t>Intellectual Property Committee</w:t>
      </w:r>
    </w:p>
    <w:p>
      <w:pPr>
        <w:ind w:left="720"/>
      </w:pPr>
      <w:r>
        <w:t>Chair: Paul Hyland</w:t>
      </w:r>
    </w:p>
    <w:p>
      <w:pPr>
        <w:ind w:left="720"/>
      </w:pPr>
      <w:r>
        <w:t>​The Intellectual Property Committee works to ensure that public policies related to patents and copyright promote innovation and balance the legitimate interests of inventors and creators with those of consumers and the public.</w:t>
      </w:r>
    </w:p>
    <w:p>
      <w:pPr>
        <w:ind w:left="720"/>
      </w:pPr>
    </w:p>
    <w:p>
      <w:pPr>
        <w:ind w:left="720"/>
        <w:rPr>
          <w:b/>
        </w:rPr>
      </w:pPr>
      <w:r>
        <w:rPr>
          <w:b/>
        </w:rPr>
        <w:t>Law Committee</w:t>
      </w:r>
    </w:p>
    <w:p>
      <w:pPr>
        <w:ind w:left="720"/>
      </w:pPr>
      <w:r>
        <w:t xml:space="preserve">Chair: Andrew Grosso </w:t>
      </w:r>
    </w:p>
    <w:p>
      <w:pPr>
        <w:ind w:left="720"/>
      </w:pPr>
      <w:r>
        <w:t xml:space="preserve">The Law Committee is dedicated to monitoring the legal landscape for developments that affect computing policy. </w:t>
      </w:r>
    </w:p>
    <w:p>
      <w:pPr>
        <w:ind w:left="720"/>
      </w:pPr>
    </w:p>
    <w:p>
      <w:pPr>
        <w:ind w:left="720"/>
        <w:rPr>
          <w:b/>
        </w:rPr>
      </w:pPr>
      <w:r>
        <w:rPr>
          <w:b/>
        </w:rPr>
        <w:t>Privacy Committee</w:t>
      </w:r>
    </w:p>
    <w:p>
      <w:pPr>
        <w:ind w:left="720"/>
      </w:pPr>
      <w:r>
        <w:t xml:space="preserve">Chair: Brian Dean </w:t>
      </w:r>
    </w:p>
    <w:p>
      <w:pPr>
        <w:ind w:left="720"/>
      </w:pPr>
      <w:r>
        <w:t xml:space="preserve">The Privacy Committee seeks to facilitate a greater understanding of the issues at the intersection of privacy and technology. </w:t>
      </w:r>
    </w:p>
    <w:p>
      <w:pPr>
        <w:ind w:left="720"/>
      </w:pPr>
    </w:p>
    <w:p>
      <w:pPr>
        <w:ind w:left="720"/>
        <w:rPr>
          <w:b/>
        </w:rPr>
      </w:pPr>
      <w:r>
        <w:rPr>
          <w:b/>
        </w:rPr>
        <w:t>Security Committee</w:t>
      </w:r>
    </w:p>
    <w:p>
      <w:pPr>
        <w:ind w:left="720"/>
      </w:pPr>
      <w:r>
        <w:t xml:space="preserve">Chair: Alec Yasinsac </w:t>
      </w:r>
    </w:p>
    <w:p>
      <w:pPr>
        <w:ind w:left="720"/>
      </w:pPr>
      <w:r>
        <w:t xml:space="preserve">The Security Committee promotes the embodiment of security in computing and computing-related infrastructures and seeks to contribute to policy solutions that foster secure, stable, robust, and trustworthy computing environments. </w:t>
      </w:r>
    </w:p>
    <w:p>
      <w:pPr>
        <w:ind w:left="720"/>
      </w:pPr>
    </w:p>
    <w:p>
      <w:pPr>
        <w:ind w:left="720"/>
        <w:rPr>
          <w:b/>
        </w:rPr>
      </w:pPr>
      <w:r>
        <w:rPr>
          <w:b/>
        </w:rPr>
        <w:t>Voting Committee</w:t>
      </w:r>
    </w:p>
    <w:p>
      <w:pPr>
        <w:ind w:left="720"/>
      </w:pPr>
      <w:r>
        <w:t>Chair: Juan Gilbert</w:t>
      </w:r>
    </w:p>
    <w:p>
      <w:pPr>
        <w:ind w:left="720"/>
      </w:pPr>
      <w:r>
        <w:t>The Voting Committee works to encourage policies that support the reliability, security, accessibility, and verifiability of public elections.</w:t>
      </w:r>
    </w:p>
    <w:p>
      <w:pPr>
        <w:pStyle w:val="Heading2"/>
      </w:pPr>
      <w:r>
        <w:t>Meetings</w:t>
      </w:r>
    </w:p>
    <w:p>
      <w:r>
        <w:t xml:space="preserve">The USACM Council met on March 28-29, 2016, in Arlington, Virginia to review policy activities and to determine priorities for the year ahead. The USACM Council typically meets in person annually. The USACM Council conducts regular conference calls with the ACM Public Policy Office staff to discuss policy priorities, coordinate activities, and evaluate new priorities and activities. </w:t>
      </w:r>
    </w:p>
    <w:p/>
    <w:p>
      <w:r>
        <w:t xml:space="preserve">USACM operates mainly through listserv discussions among the members. In addition to the main listserv for all members, each committee operates a listserv to keep its members informed of policy activities, events, policy engagement opportunities, and relevant information. Some standing committees hold monthly conference calls to discuss the progress on specific policy projects.  </w:t>
      </w:r>
    </w:p>
    <w:p>
      <w:pPr>
        <w:pStyle w:val="Heading1"/>
      </w:pPr>
      <w:r>
        <w:t>Project Summary</w:t>
      </w:r>
    </w:p>
    <w:p>
      <w:r>
        <w:t xml:space="preserve">USACM made significant progress this year in delivering on its mission to educate and inform policy leaders, ACM members, the computing community, and the public about U.S. policy issues related to information technology and computing. USACM participated in multistakeholder partnerships and forums, submitted public comments to federal agencies, and released policy statements. USACM also raised awareness of public policy issues through social media, blogs, press releases, and other public outreach. </w:t>
      </w:r>
    </w:p>
    <w:p/>
    <w:p>
      <w:r>
        <w:t>Several ACM entities advised on and/or contributed to USACM's public-facing policy activities, including SIGACCESS, SIGCHI, the Education Board, the Education Council, and the Task Force on Cybersecurity Education. USACM also promoted resources from SIGWEB and SIGGRAPH to policy leaders and the media.</w:t>
      </w:r>
    </w:p>
    <w:p>
      <w:pPr>
        <w:pStyle w:val="Heading2"/>
      </w:pPr>
      <w:r>
        <w:t>Multistakeholder Partnerships and Forums</w:t>
      </w:r>
    </w:p>
    <w:p>
      <w:pPr>
        <w:rPr>
          <w:color w:val="000000" w:themeColor="text1"/>
        </w:rPr>
      </w:pPr>
      <w:r>
        <w:rPr>
          <w:color w:val="000000" w:themeColor="text1"/>
        </w:rPr>
        <w:t>USACM engaged with and monitored the following multistakeholder partnerships and forums, with additional information given within the respective committee report in the appendices:</w:t>
      </w:r>
    </w:p>
    <w:p>
      <w:pPr>
        <w:ind w:left="720"/>
        <w:rPr>
          <w:b/>
          <w:color w:val="0000FF"/>
        </w:rPr>
      </w:pPr>
    </w:p>
    <w:p>
      <w:pPr>
        <w:ind w:left="720"/>
        <w:rPr>
          <w:color w:val="000000" w:themeColor="text1"/>
        </w:rPr>
      </w:pPr>
      <w:r>
        <w:rPr>
          <w:b/>
          <w:color w:val="000000" w:themeColor="text1"/>
        </w:rPr>
        <w:t xml:space="preserve">Congressional Caucus Advisory Committees </w:t>
      </w:r>
      <w:r>
        <w:rPr>
          <w:color w:val="000000" w:themeColor="text1"/>
        </w:rPr>
        <w:t>The advisory committees are comprised of public interest groups, trade associations, nonprofits, and corporations from a broad cross-section of the public interest community and technology community. The advisory committees provide informational briefings for Congressional staff and the public. The Advisory Committees take no positions on legislation or regulations.</w:t>
      </w:r>
    </w:p>
    <w:p>
      <w:pPr>
        <w:ind w:left="720"/>
        <w:rPr>
          <w:b/>
          <w:color w:val="000000" w:themeColor="text1"/>
        </w:rPr>
      </w:pPr>
    </w:p>
    <w:p>
      <w:pPr>
        <w:ind w:left="720"/>
        <w:rPr>
          <w:b/>
          <w:color w:val="000000" w:themeColor="text1"/>
        </w:rPr>
      </w:pPr>
      <w:r>
        <w:rPr>
          <w:b/>
          <w:color w:val="000000" w:themeColor="text1"/>
        </w:rPr>
        <w:t>U.S. Department of Commerce</w:t>
      </w:r>
    </w:p>
    <w:p>
      <w:pPr>
        <w:ind w:left="720"/>
        <w:rPr>
          <w:color w:val="000000" w:themeColor="text1"/>
        </w:rPr>
      </w:pPr>
      <w:r>
        <w:rPr>
          <w:b/>
          <w:color w:val="000000" w:themeColor="text1"/>
        </w:rPr>
        <w:t xml:space="preserve"> Internet Policy Task Force Multistakeholder Forums </w:t>
      </w:r>
      <w:proofErr w:type="gramStart"/>
      <w:r>
        <w:rPr>
          <w:color w:val="000000" w:themeColor="text1"/>
        </w:rPr>
        <w:t>The</w:t>
      </w:r>
      <w:proofErr w:type="gramEnd"/>
      <w:r>
        <w:rPr>
          <w:color w:val="000000" w:themeColor="text1"/>
        </w:rPr>
        <w:t xml:space="preserve"> Task Force convenes and facilitates multistakeholder forums focused on voluntary approaches to improve privacy, cybersecurity, </w:t>
      </w:r>
      <w:r>
        <w:t xml:space="preserve">security vulnerability disclosures, </w:t>
      </w:r>
      <w:r>
        <w:rPr>
          <w:color w:val="000000" w:themeColor="text1"/>
        </w:rPr>
        <w:t xml:space="preserve">copyright, cross-border data flows, and the potential roles for the government in fostering the advancement of the Internet of Things. </w:t>
      </w:r>
    </w:p>
    <w:p>
      <w:pPr>
        <w:ind w:left="720"/>
        <w:rPr>
          <w:b/>
          <w:color w:val="000000" w:themeColor="text1"/>
        </w:rPr>
      </w:pPr>
    </w:p>
    <w:p>
      <w:pPr>
        <w:ind w:left="720"/>
        <w:rPr>
          <w:color w:val="000000" w:themeColor="text1"/>
        </w:rPr>
      </w:pPr>
      <w:r>
        <w:rPr>
          <w:b/>
          <w:color w:val="000000" w:themeColor="text1"/>
        </w:rPr>
        <w:t xml:space="preserve">USPTO Software Patent Quality </w:t>
      </w:r>
      <w:r>
        <w:rPr>
          <w:color w:val="000000" w:themeColor="text1"/>
        </w:rPr>
        <w:t>The U.S. Patent and Trademark Office, through its Enhanced Patent Quality Initiative, brings together stakeholders through a series of in-person events, webinars, and online chats to discuss initiatives and progress on improving the quality of software-related patents. The USPTO uses stakeholder input to identify new topics for case studies, make improvements to existing programs, and develop and implement new processes.</w:t>
      </w:r>
    </w:p>
    <w:p>
      <w:pPr>
        <w:ind w:left="720"/>
        <w:rPr>
          <w:color w:val="000000" w:themeColor="text1"/>
        </w:rPr>
      </w:pPr>
    </w:p>
    <w:p>
      <w:pPr>
        <w:ind w:left="720"/>
        <w:rPr>
          <w:b/>
          <w:color w:val="000000" w:themeColor="text1"/>
        </w:rPr>
      </w:pPr>
      <w:r>
        <w:rPr>
          <w:b/>
          <w:color w:val="000000" w:themeColor="text1"/>
        </w:rPr>
        <w:t xml:space="preserve">U.S.-EU Trade Agreement Stakeholder Forums </w:t>
      </w:r>
      <w:r>
        <w:rPr>
          <w:color w:val="000000" w:themeColor="text1"/>
        </w:rPr>
        <w:t>As part of the negotiating process for a new U.S.-EU free trade agreement,</w:t>
      </w:r>
      <w:r>
        <w:rPr>
          <w:b/>
          <w:color w:val="000000" w:themeColor="text1"/>
        </w:rPr>
        <w:t xml:space="preserve"> </w:t>
      </w:r>
      <w:r>
        <w:rPr>
          <w:color w:val="000000" w:themeColor="text1"/>
        </w:rPr>
        <w:t>the United States and the European Union jointly held public forums to receive stakeholder input on specific issues relevant to the proposed Transatlantic Trade and Investment Partnership (TTIP) agreement.</w:t>
      </w:r>
      <w:r>
        <w:t xml:space="preserve"> USACM has collaborated with the ACM Europe Policy Committee on joint statements to the negotiators on guiding principles for consideration when drafting trade treaties.</w:t>
      </w:r>
    </w:p>
    <w:p>
      <w:pPr>
        <w:pStyle w:val="Heading2"/>
      </w:pPr>
      <w:r>
        <w:t>Public Comments and Statements</w:t>
      </w:r>
    </w:p>
    <w:p>
      <w:r>
        <w:t>USACM submitted or released the following comments and statements, with additional information given within the respective committee report in the appendices. The comments and statements are available for download on the USACM website.</w:t>
      </w:r>
    </w:p>
    <w:p>
      <w:pPr>
        <w:jc w:val="center"/>
        <w:rPr>
          <w:b/>
        </w:rPr>
      </w:pPr>
    </w:p>
    <w:p>
      <w:pPr>
        <w:ind w:left="720"/>
        <w:rPr>
          <w:b/>
        </w:rPr>
      </w:pPr>
      <w:r>
        <w:rPr>
          <w:b/>
        </w:rPr>
        <w:t>Comments to the White House on a Revised Policy for Managing Federal IT Systems</w:t>
      </w:r>
    </w:p>
    <w:p>
      <w:pPr>
        <w:ind w:left="720"/>
      </w:pPr>
      <w:r>
        <w:t xml:space="preserve">USACM submitted comments to the White House Office of Management and Budget (OMB) on proposed revisions to the policy guidance on information technology management for federal executives. </w:t>
      </w:r>
      <w:proofErr w:type="gramStart"/>
      <w:r>
        <w:t>The policy document, known as Circular No.</w:t>
      </w:r>
      <w:proofErr w:type="gramEnd"/>
      <w:r>
        <w:t xml:space="preserve"> A-130 and titled Managing Information as a Strategic Resource, was last updated 16 years ago. USACM's comments helped contribute to the strengthening of the treatment of privacy and the coordination between security and privacy functions at all levels. The draft had placed greater emphasis and more specific attention on security. As one example, the final document now requires federal agencies to implement enterprise risk management for privacy and security across organizational tiers. </w:t>
      </w:r>
    </w:p>
    <w:p>
      <w:pPr>
        <w:ind w:left="720"/>
        <w:rPr>
          <w:b/>
        </w:rPr>
      </w:pPr>
    </w:p>
    <w:p>
      <w:pPr>
        <w:ind w:left="720"/>
        <w:rPr>
          <w:b/>
        </w:rPr>
      </w:pPr>
      <w:r>
        <w:rPr>
          <w:b/>
        </w:rPr>
        <w:t>Comments to National Telecommunications and Information Administration (NTIA) on the Potential Benefits and Challenges of the Internet of Things</w:t>
      </w:r>
    </w:p>
    <w:p>
      <w:pPr>
        <w:ind w:left="720"/>
      </w:pPr>
      <w:r>
        <w:t xml:space="preserve">USACM submitted comments to the National Telecommunications and Information Administration (NTIA) on the potential benefits and challenges of the Internet of Things and what role the U.S. Government should play in this area. USACM described new privacy and security concerns related to </w:t>
      </w:r>
      <w:proofErr w:type="spellStart"/>
      <w:r>
        <w:t>IoT</w:t>
      </w:r>
      <w:proofErr w:type="spellEnd"/>
      <w:r>
        <w:t xml:space="preserve"> and their importance to public policies. USACM will participate in a fall 2016 workshop that will build on the comments submitted by various stakeholders. The workshop will be convened by the U.S. Department of Commerce’s Internet Policy Task Force and the Digital Economy Leadership Team on Fostering the Advancement of the Internet of Things. NTIA will use the public input from the written comments and the workshop to inform a “green paper” that will identify key issues impacting deployment of these technologies, highlight potential benefits and challenges, and identify possible roles for the federal government in fostering the advancement of </w:t>
      </w:r>
      <w:proofErr w:type="spellStart"/>
      <w:r>
        <w:t>IoT</w:t>
      </w:r>
      <w:proofErr w:type="spellEnd"/>
      <w:r>
        <w:t xml:space="preserve"> technologies in partnership with the private sector.</w:t>
      </w:r>
    </w:p>
    <w:p>
      <w:pPr>
        <w:ind w:left="720"/>
        <w:rPr>
          <w:rFonts w:ascii="Times New Roman Bold" w:hAnsi="Times New Roman Bold"/>
          <w:b/>
        </w:rPr>
      </w:pPr>
    </w:p>
    <w:p>
      <w:pPr>
        <w:ind w:left="720"/>
        <w:rPr>
          <w:b/>
        </w:rPr>
      </w:pPr>
      <w:r>
        <w:rPr>
          <w:b/>
        </w:rPr>
        <w:t>Comments to the U.S. Copyright Office on Security Research Exemptions under the Digital Millennium Copyright Act</w:t>
      </w:r>
    </w:p>
    <w:p>
      <w:pPr>
        <w:tabs>
          <w:tab w:val="num" w:pos="2160"/>
        </w:tabs>
        <w:ind w:left="720"/>
      </w:pPr>
      <w:r>
        <w:t xml:space="preserve">USACM submitted comments to the U.S. Copyright Office in support of computer security research exemptions from the prohibition against circumvention </w:t>
      </w:r>
      <w:r>
        <w:rPr>
          <w:rStyle w:val="st"/>
        </w:rPr>
        <w:t xml:space="preserve">of technological measures protecting copyrighted works under the Digital Millennium Copyright Act (DMCA). The U.S. Copyright Office concluded that proponents for the exemption established substantial evidence that "the DMCA prohibition continues to discourage academic institutions and government entities from funding critical security research." Consistent with USACM's recommendations, the </w:t>
      </w:r>
      <w:r>
        <w:t>Library of Congress</w:t>
      </w:r>
      <w:r>
        <w:rPr>
          <w:rStyle w:val="st"/>
        </w:rPr>
        <w:t xml:space="preserve"> in October 2015 granted a t</w:t>
      </w:r>
      <w:r>
        <w:t xml:space="preserve">emporary exemption for security research on </w:t>
      </w:r>
      <w:r>
        <w:rPr>
          <w:bCs/>
        </w:rPr>
        <w:t>voting systems</w:t>
      </w:r>
      <w:r>
        <w:t>. The Library of Congress also granted a temporary exemption for security research for computing programs used to operate consumer-oriented devices and machines, land vehicles, and medical devices, to become effective in fall 2016.</w:t>
      </w:r>
    </w:p>
    <w:p>
      <w:pPr>
        <w:tabs>
          <w:tab w:val="num" w:pos="2160"/>
        </w:tabs>
        <w:ind w:left="720"/>
      </w:pPr>
    </w:p>
    <w:p>
      <w:pPr>
        <w:ind w:left="720"/>
        <w:rPr>
          <w:b/>
        </w:rPr>
      </w:pPr>
      <w:r>
        <w:rPr>
          <w:b/>
        </w:rPr>
        <w:t>Comments to the U.S. Copyright Office on the Digital Millennium Copyright Act (DMCA) Section 1201 Policy Study</w:t>
      </w:r>
    </w:p>
    <w:p>
      <w:pPr>
        <w:ind w:left="720"/>
      </w:pPr>
      <w:r>
        <w:t xml:space="preserve">USACM submitted comments to the U.S. Copyright Office for its study on the effectiveness of the Digital Millennium Copyright Act (DMCA) and the permanent and temporary exemptions allowing lawful circumvention of technological measures of copyrighted works. </w:t>
      </w:r>
      <w:r>
        <w:rPr>
          <w:rStyle w:val="st"/>
        </w:rPr>
        <w:t xml:space="preserve">USACM's comments were informed by experts in </w:t>
      </w:r>
      <w:r>
        <w:t>intellectual property, privacy, security, accessibility, and law. USACM recommended short-term and permanent exemptions to support and expand beneficial computing security research, particularly relevant to reverse engineering, encryption research, computer privacy research, security research, accessibility, and educational activities. The U.S. Copyright Office will use the public input to inform its forthcoming report to Congress and its recommendations on possible legislative, regulatory, and policy reforms.</w:t>
      </w:r>
    </w:p>
    <w:p>
      <w:pPr>
        <w:ind w:left="720"/>
      </w:pPr>
    </w:p>
    <w:p>
      <w:pPr>
        <w:ind w:left="720"/>
        <w:rPr>
          <w:b/>
        </w:rPr>
      </w:pPr>
      <w:r>
        <w:rPr>
          <w:b/>
        </w:rPr>
        <w:t>Comments to the National Institute of Standards and Technology on U.S. Participation in International Cybersecurity Standardization</w:t>
      </w:r>
    </w:p>
    <w:p>
      <w:pPr>
        <w:ind w:left="720"/>
      </w:pPr>
      <w:r>
        <w:t>USACM collaborated with the ACM Education Policy Committee, ACM Education Board, ACM Education Council, and the ACM Task Force on Cybersecurity Education on comments to the National Institute of Standards and Technology (NIST) and the National Security Council's Cyber Interagency Policy Committee. USACM's comments resulted in the addition of "computing" as a major academic area of technical, undergraduate, and graduate educational programs in the final interagency report on strategic U.S. participation in international cybersecurity standards. The final report also included several of our suggestions and recommendations, such as including mobile technologies and explicitly recognizing professional societies as among the key stakeholders.</w:t>
      </w:r>
    </w:p>
    <w:p>
      <w:pPr>
        <w:ind w:left="720"/>
      </w:pPr>
    </w:p>
    <w:p>
      <w:pPr>
        <w:ind w:left="720"/>
        <w:rPr>
          <w:b/>
        </w:rPr>
      </w:pPr>
      <w:r>
        <w:rPr>
          <w:b/>
        </w:rPr>
        <w:t xml:space="preserve">Comments to the National Institute of Standards and Technology on the draft Privacy Risk Management Framework for Federal Information Systems </w:t>
      </w:r>
    </w:p>
    <w:p>
      <w:pPr>
        <w:ind w:left="720"/>
      </w:pPr>
      <w:r>
        <w:t>USACM submitted comments to the National Institute of Standards and Technology (NIST) in response to specific questions on how to improve a draft framework aimed at helping federal agencies better manage data privacy risks through sound privacy policies, processes, and practices. USACM recommended that NIST consider providing additional discussion of the interrelationship of privacy risk management with the other risks that federal agencies manage. Many privacy risks are interdependent with other types of risks, data actions, and processes. USACM was awaiting the revised report at the time of this summary.</w:t>
      </w:r>
    </w:p>
    <w:p>
      <w:pPr>
        <w:ind w:left="720"/>
        <w:rPr>
          <w:i/>
        </w:rPr>
      </w:pPr>
    </w:p>
    <w:p>
      <w:pPr>
        <w:ind w:left="720"/>
        <w:rPr>
          <w:b/>
        </w:rPr>
      </w:pPr>
      <w:r>
        <w:rPr>
          <w:b/>
        </w:rPr>
        <w:t>Comments to the U.S. Department of Health and Human Services on Federal Regulations Governing the Protection of Research Participants</w:t>
      </w:r>
    </w:p>
    <w:p>
      <w:pPr>
        <w:ind w:left="720"/>
      </w:pPr>
      <w:r>
        <w:t>USACM collaborated with ACM's Special Interest Groups (SIGs) on comments submitted to the U.S. Department of Health and Human Services (HHS) on proposed updates to the federal regulations for research involving human subjects. These regulations, known as the Common Rule, are used by 20+ federal agencies. They have significance for computing professionals conducting behavioral, analytic, and clinical studies, especially in the subfields of computer security, information assurance, computer networks, computer-human interaction, accessibility, and usability. The regulations also have significance for the sensitive data of individuals participating in federally funded research studies. The 100+-page Notice for Proposed Rulemaking posed 88 specific questions. HHS will use the input to modernize the current system of regulatory oversight of research involving human participants. USACM was awaiting the regulatory outcome at the time of this summary.</w:t>
      </w:r>
    </w:p>
    <w:p>
      <w:pPr>
        <w:ind w:left="720"/>
      </w:pPr>
    </w:p>
    <w:p>
      <w:pPr>
        <w:ind w:left="720"/>
        <w:rPr>
          <w:b/>
        </w:rPr>
      </w:pPr>
      <w:r>
        <w:rPr>
          <w:b/>
        </w:rPr>
        <w:t>Statement on the 25th Anniversary of the Americans with Disabilities Act</w:t>
      </w:r>
    </w:p>
    <w:p>
      <w:pPr>
        <w:ind w:left="720"/>
      </w:pPr>
      <w:r>
        <w:t>USACM issued a statement and press release to celebrate the 25</w:t>
      </w:r>
      <w:r>
        <w:rPr>
          <w:vertAlign w:val="superscript"/>
        </w:rPr>
        <w:t>th</w:t>
      </w:r>
      <w:r>
        <w:t xml:space="preserve"> Anniversary of the Americans with Disabilities Act (ADA) and to showcase ACM's involvement in advancing and achieving the principles of equality and inclusion in the digital environment for people with disabilities. The statement spotlighted how seven computing technology advances during the past 25 years have contributed to different dimensions in empowering people with disabilities. The statement also described five emergent areas of transformative innovation, including artificial intelligence, brain-computer interfaces, the Internet of Things, 3D printing, and wearables. USACM provided major media with relevant ACM webinars, SIG conference proceedings, SIG conference videos, and other SIG resources featuring the latest technologies and research. The USACM Accessibility Committee Chair was interviewed by media. </w:t>
      </w:r>
    </w:p>
    <w:p>
      <w:pPr>
        <w:ind w:left="720"/>
      </w:pPr>
    </w:p>
    <w:p>
      <w:pPr>
        <w:ind w:left="720"/>
        <w:rPr>
          <w:b/>
          <w:bCs/>
        </w:rPr>
      </w:pPr>
      <w:r>
        <w:rPr>
          <w:b/>
          <w:bCs/>
        </w:rPr>
        <w:t xml:space="preserve">Public Comments to U.S. Access Board on ICT Accessibility Standards </w:t>
      </w:r>
    </w:p>
    <w:p>
      <w:pPr>
        <w:ind w:left="720"/>
        <w:rPr>
          <w:b/>
          <w:bCs/>
        </w:rPr>
      </w:pPr>
      <w:r>
        <w:rPr>
          <w:b/>
          <w:bCs/>
        </w:rPr>
        <w:t>(Section 508 Rehabilitation Act/ Section 255 Telecomm Act)</w:t>
      </w:r>
    </w:p>
    <w:p>
      <w:pPr>
        <w:ind w:left="720"/>
      </w:pPr>
      <w:r>
        <w:t>USACM submitted comments to the U.S. Access Board on the updated federal accessibility standards and guidelines for information and communication technology (ICT) under Section 508 of the Rehabilitation Act and Section 255 of the Telecommunications Act. The current standards have been in place for roughly 15 years. The effort to revise these standards has been a multiyear process that is nearing its end. The updated standards will apply to websites, social media, mobile apps, interactive kiosks, wireless assistive devices, and other technologies. Among its comments, USACM supported the adoption of the international standards and guidelines for accessibility. USACM was awaiting the regulatory outcome at the time of this summary.</w:t>
      </w:r>
    </w:p>
    <w:p>
      <w:pPr>
        <w:ind w:left="720"/>
      </w:pPr>
    </w:p>
    <w:p>
      <w:pPr>
        <w:pStyle w:val="Heading1"/>
      </w:pPr>
      <w:r>
        <w:t>Plans for FISCAL YEAR 2017</w:t>
      </w:r>
    </w:p>
    <w:p>
      <w:pPr>
        <w:pStyle w:val="Heading2"/>
      </w:pPr>
      <w:r>
        <w:t>Policy Projects in Fiscal Year 2017</w:t>
      </w:r>
    </w:p>
    <w:p>
      <w:pPr>
        <w:rPr>
          <w:color w:val="000000" w:themeColor="text1"/>
        </w:rPr>
      </w:pPr>
      <w:r>
        <w:t>USACM will continue its work to engage with current ACM members and to connect with other ACM groups. Possible new projects for the standing committees are described within the committee reports in the appendices.</w:t>
      </w:r>
      <w:r>
        <w:rPr>
          <w:color w:val="000000" w:themeColor="text1"/>
        </w:rPr>
        <w:t xml:space="preserve"> USACM will continue to engage with and monitor various multistakeholder partnerships and forums. </w:t>
      </w:r>
    </w:p>
    <w:p>
      <w:pPr>
        <w:rPr>
          <w:color w:val="000000" w:themeColor="text1"/>
        </w:rPr>
      </w:pPr>
    </w:p>
    <w:p>
      <w:pPr>
        <w:rPr>
          <w:color w:val="000000" w:themeColor="text1"/>
        </w:rPr>
      </w:pPr>
      <w:r>
        <w:rPr>
          <w:color w:val="000000" w:themeColor="text1"/>
        </w:rPr>
        <w:t xml:space="preserve">USACM will continue to look for ways to collaborate with the ACM Europe Policy Committee, the ACM Education Policy Committee, ACM’s Special Interest Groups, and other ACM entities. </w:t>
      </w:r>
    </w:p>
    <w:p>
      <w:pPr>
        <w:rPr>
          <w:color w:val="000000" w:themeColor="text1"/>
        </w:rPr>
      </w:pPr>
    </w:p>
    <w:p>
      <w:pPr>
        <w:rPr>
          <w:color w:val="0000FF"/>
        </w:rPr>
      </w:pPr>
      <w:r>
        <w:rPr>
          <w:color w:val="000000" w:themeColor="text1"/>
        </w:rPr>
        <w:t xml:space="preserve">USACM will continue to look for ways to collaborate with other organizations to strengthen our efforts to educate and inform policy leaders and deepen our impact and influence in U.S. public policy. </w:t>
      </w:r>
    </w:p>
    <w:p/>
    <w:p>
      <w:pPr>
        <w:ind w:left="720"/>
        <w:rPr>
          <w:rStyle w:val="Emphasis"/>
          <w:b/>
          <w:i w:val="0"/>
        </w:rPr>
      </w:pPr>
      <w:r>
        <w:rPr>
          <w:rStyle w:val="st"/>
          <w:b/>
        </w:rPr>
        <w:t xml:space="preserve">Presidential </w:t>
      </w:r>
      <w:r>
        <w:rPr>
          <w:rStyle w:val="Emphasis"/>
          <w:b/>
          <w:i w:val="0"/>
        </w:rPr>
        <w:t>Commission on Enhancing National Cybersecurity</w:t>
      </w:r>
    </w:p>
    <w:p>
      <w:pPr>
        <w:ind w:left="720"/>
      </w:pPr>
      <w:r>
        <w:t>USACM will provide comments to the Presidential Commission on Enhancing National Cybersecurity on ways to strengthen cybersecurity in both the public and private sectors while protecting privacy. The Commission was formed April 13, 2016 and was tasked by Executive Order to provide detailed recommendations to strengthen cybersecurity in the near-term and long-term. The comments will help inform the Commission's final report to the President, which is due by December 1, 2016.</w:t>
      </w:r>
    </w:p>
    <w:p>
      <w:pPr>
        <w:ind w:left="720"/>
        <w:rPr>
          <w:b/>
        </w:rPr>
      </w:pPr>
    </w:p>
    <w:p>
      <w:pPr>
        <w:ind w:left="720"/>
        <w:rPr>
          <w:b/>
          <w:color w:val="000000" w:themeColor="text1"/>
        </w:rPr>
      </w:pPr>
      <w:r>
        <w:rPr>
          <w:b/>
          <w:color w:val="000000" w:themeColor="text1"/>
        </w:rPr>
        <w:t>Congressional Briefing on Wearables</w:t>
      </w:r>
    </w:p>
    <w:p>
      <w:pPr>
        <w:ind w:left="720"/>
        <w:rPr>
          <w:color w:val="000000" w:themeColor="text1"/>
        </w:rPr>
      </w:pPr>
      <w:r>
        <w:rPr>
          <w:color w:val="000000" w:themeColor="text1"/>
        </w:rPr>
        <w:t xml:space="preserve">USACM will provide a briefing on consumer wearables and the related public policy issues, such as privacy, security, accessibility, and intellectual property. USACM will explore the feasibility of a research briefing featuring important advances and pioneering research on wearables and how those intersect with policy issues related to big data, algorithms, and the Internet of Things.  </w:t>
      </w:r>
    </w:p>
    <w:p>
      <w:pPr>
        <w:ind w:left="720"/>
        <w:rPr>
          <w:b/>
        </w:rPr>
      </w:pPr>
    </w:p>
    <w:p>
      <w:pPr>
        <w:ind w:left="720"/>
        <w:rPr>
          <w:b/>
        </w:rPr>
      </w:pPr>
      <w:r>
        <w:rPr>
          <w:b/>
        </w:rPr>
        <w:t>U.S. Department of Commerce: Workshop on the Internet of Things</w:t>
      </w:r>
    </w:p>
    <w:p>
      <w:pPr>
        <w:ind w:left="720"/>
      </w:pPr>
      <w:r>
        <w:t xml:space="preserve">USACM will participate in a fall 2016 workshop on the potential technical and policy challenges of the Internet of Things convened by the U.S. Department of Commerce’s Internet Policy Task Force and the Digital Economy Leadership Team on Fostering the Advancement of the Internet of Things. The workshop will build on written comments submitted by various stakeholders, including USACM. The public input from the written comments and the workshop will inform the Department's forthcoming “green paper” that will identify key issues impacting deployment of these technologies, highlight potential benefits and challenges, and identify possible roles for the federal government in fostering the advancement of </w:t>
      </w:r>
      <w:proofErr w:type="spellStart"/>
      <w:r>
        <w:t>IoT</w:t>
      </w:r>
      <w:proofErr w:type="spellEnd"/>
      <w:r>
        <w:t xml:space="preserve"> technologies in partnership with the private sector.</w:t>
      </w:r>
    </w:p>
    <w:p>
      <w:pPr>
        <w:ind w:left="720"/>
      </w:pPr>
    </w:p>
    <w:p>
      <w:pPr>
        <w:ind w:left="720"/>
        <w:rPr>
          <w:b/>
        </w:rPr>
      </w:pPr>
      <w:r>
        <w:rPr>
          <w:b/>
        </w:rPr>
        <w:br w:type="page"/>
      </w:r>
    </w:p>
    <w:p>
      <w:pPr>
        <w:ind w:left="720"/>
        <w:rPr>
          <w:b/>
        </w:rPr>
      </w:pPr>
      <w:r>
        <w:rPr>
          <w:b/>
        </w:rPr>
        <w:t>USACM Technical Workshop on Algorithmic Accountability and Public Policy</w:t>
      </w:r>
    </w:p>
    <w:p>
      <w:pPr>
        <w:ind w:left="720"/>
      </w:pPr>
      <w:r>
        <w:t xml:space="preserve">USACM will convene a small group of computing professionals for a technical workshop to discuss privacy risks of analytics algorithms and what policy approaches may be needed to address algorithmic accountability and transparency. The discussion will include accountability mechanisms, </w:t>
      </w:r>
      <w:proofErr w:type="gramStart"/>
      <w:r>
        <w:t>accountable</w:t>
      </w:r>
      <w:proofErr w:type="gramEnd"/>
      <w:r>
        <w:t xml:space="preserve"> data governance, management of privacy risks, and recent developments in algorithmic capabilities and research. A workshop summary will be published.</w:t>
      </w:r>
    </w:p>
    <w:p>
      <w:pPr>
        <w:ind w:left="720"/>
        <w:rPr>
          <w:b/>
        </w:rPr>
      </w:pPr>
    </w:p>
    <w:p>
      <w:pPr>
        <w:ind w:left="720"/>
        <w:rPr>
          <w:b/>
        </w:rPr>
      </w:pPr>
      <w:r>
        <w:rPr>
          <w:b/>
        </w:rPr>
        <w:t xml:space="preserve">U.S. Department of Justice: Accessibility Regulations Applicable to State and Local Governments </w:t>
      </w:r>
      <w:r>
        <w:t>USACM will submit comments to the U.S. Department of Justice on accessibility regulations for websites and mobile apps applicable to state and local governments under Title II of the Americans with Disabilities Act (ADA). USACM submitted comments in 2010 when the Justice Department issued an Advance Notice of Proposed Rulemaking. The Justice Department will seek supplemental information specific to the potential application of technical requirements for websites and mobile apps, the adoption of international standards and guidelines, and privacy protections.</w:t>
      </w:r>
    </w:p>
    <w:p>
      <w:pPr>
        <w:pStyle w:val="ListParagraph"/>
      </w:pPr>
    </w:p>
    <w:p>
      <w:pPr>
        <w:ind w:left="720"/>
        <w:rPr>
          <w:color w:val="000000" w:themeColor="text1"/>
        </w:rPr>
      </w:pPr>
      <w:r>
        <w:rPr>
          <w:b/>
          <w:color w:val="000000" w:themeColor="text1"/>
        </w:rPr>
        <w:t xml:space="preserve">Congressional Caucus Advisory Committees </w:t>
      </w:r>
      <w:r>
        <w:rPr>
          <w:color w:val="000000" w:themeColor="text1"/>
        </w:rPr>
        <w:t>USACM will continue to</w:t>
      </w:r>
      <w:r>
        <w:rPr>
          <w:b/>
          <w:color w:val="000000" w:themeColor="text1"/>
        </w:rPr>
        <w:t xml:space="preserve"> </w:t>
      </w:r>
      <w:r>
        <w:rPr>
          <w:color w:val="000000" w:themeColor="text1"/>
        </w:rPr>
        <w:t>participate in advisory committees, which are comprised of public interest groups, trade associations, nonprofits, and corporations from a broad cross-section of the public interest community and technology community. The advisory committees provide informational briefings for Congressional staff and the public. The Advisory Committees take no positions on legislation or regulations.</w:t>
      </w:r>
    </w:p>
    <w:p>
      <w:pPr>
        <w:ind w:left="720"/>
        <w:rPr>
          <w:b/>
          <w:color w:val="000000" w:themeColor="text1"/>
        </w:rPr>
      </w:pPr>
    </w:p>
    <w:p>
      <w:pPr>
        <w:ind w:left="720"/>
        <w:rPr>
          <w:color w:val="000000" w:themeColor="text1"/>
        </w:rPr>
      </w:pPr>
      <w:r>
        <w:rPr>
          <w:b/>
          <w:color w:val="000000" w:themeColor="text1"/>
        </w:rPr>
        <w:t xml:space="preserve">U.S. Department of Commerce Internet Policy Task Force Multistakeholder Forums </w:t>
      </w:r>
      <w:r>
        <w:rPr>
          <w:color w:val="000000" w:themeColor="text1"/>
        </w:rPr>
        <w:t xml:space="preserve">USACM will continue to participate in multistakeholder forums convened to identify and develop voluntary approaches to improve privacy, cybersecurity, </w:t>
      </w:r>
      <w:r>
        <w:t xml:space="preserve">security vulnerability disclosures, </w:t>
      </w:r>
      <w:r>
        <w:rPr>
          <w:color w:val="000000" w:themeColor="text1"/>
        </w:rPr>
        <w:t xml:space="preserve">copyright, cross-border data flows, and the potential roles for the government in fostering the advancement of the Internet of Things. </w:t>
      </w:r>
    </w:p>
    <w:p>
      <w:pPr>
        <w:ind w:left="720"/>
        <w:rPr>
          <w:b/>
          <w:color w:val="000000" w:themeColor="text1"/>
        </w:rPr>
      </w:pPr>
    </w:p>
    <w:p>
      <w:pPr>
        <w:ind w:left="720"/>
        <w:rPr>
          <w:color w:val="000000" w:themeColor="text1"/>
        </w:rPr>
      </w:pPr>
      <w:r>
        <w:rPr>
          <w:b/>
          <w:color w:val="000000" w:themeColor="text1"/>
        </w:rPr>
        <w:t xml:space="preserve">USPTO Software Patent Quality </w:t>
      </w:r>
      <w:r>
        <w:rPr>
          <w:color w:val="000000" w:themeColor="text1"/>
        </w:rPr>
        <w:t>USACM will continue to engage in and monitor the multistakeholder and outreach activities by the U.S. Patent and Trademark Office to improve patent quality. Its Enhanced Patent Quality Initiative brings together stakeholders through a series of in-person events, webinars, and online chats to discuss initiatives and progress on improving the quality of software-related patents. The USPTO uses stakeholder input to identify new topics for case studies, make improvements to existing programs, and develop and implement new processes.</w:t>
      </w:r>
    </w:p>
    <w:p>
      <w:pPr>
        <w:ind w:left="720"/>
        <w:rPr>
          <w:color w:val="000000" w:themeColor="text1"/>
        </w:rPr>
      </w:pPr>
    </w:p>
    <w:p>
      <w:pPr>
        <w:ind w:left="720"/>
        <w:rPr>
          <w:b/>
          <w:color w:val="000000" w:themeColor="text1"/>
        </w:rPr>
      </w:pPr>
      <w:r>
        <w:rPr>
          <w:b/>
          <w:color w:val="000000" w:themeColor="text1"/>
        </w:rPr>
        <w:t>ACM Publications: Policy Articles by USACM Members</w:t>
      </w:r>
    </w:p>
    <w:p>
      <w:pPr>
        <w:ind w:left="720"/>
        <w:rPr>
          <w:color w:val="000000" w:themeColor="text1"/>
        </w:rPr>
      </w:pPr>
      <w:r>
        <w:rPr>
          <w:color w:val="000000" w:themeColor="text1"/>
        </w:rPr>
        <w:t xml:space="preserve">USACM will encourage members to author articles on hot topic issues at the intersection of technology and policy for ACM publications and ACM-sponsored publications, such as the ACM-sponsored Huffington Post blog. USACM will develop and implement procedures by which the articles might be USACM branded or officially adopted as reflecting the views of USACM. </w:t>
      </w:r>
    </w:p>
    <w:p>
      <w:pPr>
        <w:pStyle w:val="Heading2"/>
      </w:pPr>
      <w:r>
        <w:t>Additional Projects in Fiscal Year 2017</w:t>
      </w:r>
    </w:p>
    <w:p>
      <w:pPr>
        <w:ind w:left="720"/>
        <w:rPr>
          <w:b/>
        </w:rPr>
      </w:pPr>
      <w:r>
        <w:rPr>
          <w:b/>
        </w:rPr>
        <w:t>USACM Membership Survey</w:t>
      </w:r>
    </w:p>
    <w:p>
      <w:pPr>
        <w:ind w:left="720"/>
      </w:pPr>
      <w:r>
        <w:t>USACM will conduct an online survey of USACM members to assess and identify priorities for the year ahead and how USACM can better serve its members, ACM members, policy leaders, the computing community, and the public. The responses will help USACM identify new initiatives, activities, and future improvements.</w:t>
      </w:r>
    </w:p>
    <w:p/>
    <w:p>
      <w:pPr>
        <w:ind w:left="720"/>
      </w:pPr>
      <w:r>
        <w:rPr>
          <w:b/>
        </w:rPr>
        <w:t>Diversity and Inclusiveness Initiative</w:t>
      </w:r>
      <w:r>
        <w:t xml:space="preserve"> </w:t>
      </w:r>
    </w:p>
    <w:p>
      <w:pPr>
        <w:ind w:left="720"/>
      </w:pPr>
      <w:r>
        <w:t>USACM is composed of a diverse community of practitioners, researchers, managers, and other interested parties from government, industry, nonprofit organizations, academia, the self</w:t>
      </w:r>
      <w:r>
        <w:noBreakHyphen/>
        <w:t>employed, and the retired. USACM Council members, similar to its general membership, are located across diverse U.S. geographical locations; by nature, USACM membership is U.S.</w:t>
      </w:r>
      <w:r>
        <w:noBreakHyphen/>
        <w:t xml:space="preserve">focused. USACM will continue its efforts to support and promote a diverse and inclusive membership. USACM will use the results of its USACM membership survey to identify new ways to further expand the diversity and inclusiveness of its membership and activities. </w:t>
      </w:r>
    </w:p>
    <w:p/>
    <w:p>
      <w:pPr>
        <w:ind w:left="720"/>
        <w:rPr>
          <w:b/>
        </w:rPr>
      </w:pPr>
    </w:p>
    <w:p>
      <w:pPr>
        <w:pStyle w:val="Title"/>
        <w:rPr>
          <w:b w:val="0"/>
        </w:rPr>
      </w:pPr>
    </w:p>
    <w:p>
      <w:pPr>
        <w:pStyle w:val="Title"/>
        <w:rPr>
          <w:b w:val="0"/>
        </w:rPr>
      </w:pPr>
    </w:p>
    <w:p>
      <w:pPr>
        <w:pStyle w:val="Title"/>
      </w:pPr>
      <w:r>
        <w:br w:type="page"/>
      </w:r>
    </w:p>
    <w:p>
      <w:pPr>
        <w:pStyle w:val="Title"/>
      </w:pPr>
      <w:r>
        <w:t>APPENDICES</w:t>
      </w:r>
    </w:p>
    <w:p/>
    <w:p>
      <w:pPr>
        <w:pStyle w:val="TOC1"/>
        <w:tabs>
          <w:tab w:val="clear" w:pos="1440"/>
          <w:tab w:val="left" w:pos="1260"/>
        </w:tabs>
        <w:rPr>
          <w:rFonts w:eastAsiaTheme="minorEastAsia" w:cstheme="minorBidi"/>
          <w:noProof/>
          <w:lang w:eastAsia="en-US"/>
        </w:rPr>
      </w:pPr>
      <w:r>
        <w:fldChar w:fldCharType="begin"/>
      </w:r>
      <w:r>
        <w:instrText xml:space="preserve"> TOC \h \z \u \t "Heading 9,1" </w:instrText>
      </w:r>
      <w:r>
        <w:fldChar w:fldCharType="separate"/>
      </w:r>
      <w:hyperlink w:anchor="_Toc458876067" w:history="1">
        <w:r>
          <w:rPr>
            <w:rStyle w:val="Hyperlink"/>
            <w:noProof/>
          </w:rPr>
          <w:t xml:space="preserve">Appendix A </w:t>
        </w:r>
        <w:r>
          <w:rPr>
            <w:rStyle w:val="Hyperlink"/>
            <w:noProof/>
          </w:rPr>
          <w:tab/>
          <w:t>Accessibility Committee</w:t>
        </w:r>
        <w:r>
          <w:rPr>
            <w:noProof/>
            <w:webHidden/>
          </w:rPr>
          <w:tab/>
        </w:r>
        <w:r>
          <w:rPr>
            <w:noProof/>
            <w:webHidden/>
          </w:rPr>
          <w:fldChar w:fldCharType="begin"/>
        </w:r>
        <w:r>
          <w:rPr>
            <w:noProof/>
            <w:webHidden/>
          </w:rPr>
          <w:instrText xml:space="preserve"> PAGEREF _Toc458876067 \h </w:instrText>
        </w:r>
        <w:r>
          <w:rPr>
            <w:noProof/>
            <w:webHidden/>
          </w:rPr>
        </w:r>
        <w:r>
          <w:rPr>
            <w:noProof/>
            <w:webHidden/>
          </w:rPr>
          <w:fldChar w:fldCharType="separate"/>
        </w:r>
        <w:r>
          <w:rPr>
            <w:noProof/>
            <w:webHidden/>
          </w:rPr>
          <w:t>14</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68" w:history="1">
        <w:r>
          <w:rPr>
            <w:rStyle w:val="Hyperlink"/>
            <w:noProof/>
          </w:rPr>
          <w:t xml:space="preserve">Appendix B </w:t>
        </w:r>
        <w:r>
          <w:rPr>
            <w:rStyle w:val="Hyperlink"/>
            <w:noProof/>
          </w:rPr>
          <w:tab/>
          <w:t>Digital Governance Committee</w:t>
        </w:r>
        <w:r>
          <w:rPr>
            <w:noProof/>
            <w:webHidden/>
          </w:rPr>
          <w:tab/>
        </w:r>
        <w:r>
          <w:rPr>
            <w:noProof/>
            <w:webHidden/>
          </w:rPr>
          <w:fldChar w:fldCharType="begin"/>
        </w:r>
        <w:r>
          <w:rPr>
            <w:noProof/>
            <w:webHidden/>
          </w:rPr>
          <w:instrText xml:space="preserve"> PAGEREF _Toc458876068 \h </w:instrText>
        </w:r>
        <w:r>
          <w:rPr>
            <w:noProof/>
            <w:webHidden/>
          </w:rPr>
        </w:r>
        <w:r>
          <w:rPr>
            <w:noProof/>
            <w:webHidden/>
          </w:rPr>
          <w:fldChar w:fldCharType="separate"/>
        </w:r>
        <w:r>
          <w:rPr>
            <w:noProof/>
            <w:webHidden/>
          </w:rPr>
          <w:t>17</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69" w:history="1">
        <w:r>
          <w:rPr>
            <w:rStyle w:val="Hyperlink"/>
            <w:noProof/>
          </w:rPr>
          <w:t>Appendix C</w:t>
        </w:r>
        <w:r>
          <w:rPr>
            <w:rStyle w:val="Hyperlink"/>
            <w:noProof/>
          </w:rPr>
          <w:tab/>
          <w:t>Intellectual Property Committee</w:t>
        </w:r>
        <w:r>
          <w:rPr>
            <w:noProof/>
            <w:webHidden/>
          </w:rPr>
          <w:tab/>
        </w:r>
        <w:r>
          <w:rPr>
            <w:noProof/>
            <w:webHidden/>
          </w:rPr>
          <w:fldChar w:fldCharType="begin"/>
        </w:r>
        <w:r>
          <w:rPr>
            <w:noProof/>
            <w:webHidden/>
          </w:rPr>
          <w:instrText xml:space="preserve"> PAGEREF _Toc458876069 \h </w:instrText>
        </w:r>
        <w:r>
          <w:rPr>
            <w:noProof/>
            <w:webHidden/>
          </w:rPr>
        </w:r>
        <w:r>
          <w:rPr>
            <w:noProof/>
            <w:webHidden/>
          </w:rPr>
          <w:fldChar w:fldCharType="separate"/>
        </w:r>
        <w:r>
          <w:rPr>
            <w:noProof/>
            <w:webHidden/>
          </w:rPr>
          <w:t>19</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70" w:history="1">
        <w:r>
          <w:rPr>
            <w:rStyle w:val="Hyperlink"/>
            <w:noProof/>
          </w:rPr>
          <w:t xml:space="preserve">Appendix D </w:t>
        </w:r>
        <w:r>
          <w:rPr>
            <w:rStyle w:val="Hyperlink"/>
            <w:noProof/>
          </w:rPr>
          <w:tab/>
          <w:t>Law Committee</w:t>
        </w:r>
        <w:r>
          <w:rPr>
            <w:noProof/>
            <w:webHidden/>
          </w:rPr>
          <w:tab/>
        </w:r>
        <w:r>
          <w:rPr>
            <w:noProof/>
            <w:webHidden/>
          </w:rPr>
          <w:fldChar w:fldCharType="begin"/>
        </w:r>
        <w:r>
          <w:rPr>
            <w:noProof/>
            <w:webHidden/>
          </w:rPr>
          <w:instrText xml:space="preserve"> PAGEREF _Toc458876070 \h </w:instrText>
        </w:r>
        <w:r>
          <w:rPr>
            <w:noProof/>
            <w:webHidden/>
          </w:rPr>
        </w:r>
        <w:r>
          <w:rPr>
            <w:noProof/>
            <w:webHidden/>
          </w:rPr>
          <w:fldChar w:fldCharType="separate"/>
        </w:r>
        <w:r>
          <w:rPr>
            <w:noProof/>
            <w:webHidden/>
          </w:rPr>
          <w:t>22</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71" w:history="1">
        <w:r>
          <w:rPr>
            <w:rStyle w:val="Hyperlink"/>
            <w:noProof/>
          </w:rPr>
          <w:t xml:space="preserve">Appendix E </w:t>
        </w:r>
        <w:r>
          <w:rPr>
            <w:rStyle w:val="Hyperlink"/>
            <w:noProof/>
          </w:rPr>
          <w:tab/>
          <w:t>Privacy Committee</w:t>
        </w:r>
        <w:r>
          <w:rPr>
            <w:noProof/>
            <w:webHidden/>
          </w:rPr>
          <w:tab/>
        </w:r>
        <w:r>
          <w:rPr>
            <w:noProof/>
            <w:webHidden/>
          </w:rPr>
          <w:fldChar w:fldCharType="begin"/>
        </w:r>
        <w:r>
          <w:rPr>
            <w:noProof/>
            <w:webHidden/>
          </w:rPr>
          <w:instrText xml:space="preserve"> PAGEREF _Toc458876071 \h </w:instrText>
        </w:r>
        <w:r>
          <w:rPr>
            <w:noProof/>
            <w:webHidden/>
          </w:rPr>
        </w:r>
        <w:r>
          <w:rPr>
            <w:noProof/>
            <w:webHidden/>
          </w:rPr>
          <w:fldChar w:fldCharType="separate"/>
        </w:r>
        <w:r>
          <w:rPr>
            <w:noProof/>
            <w:webHidden/>
          </w:rPr>
          <w:t>25</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72" w:history="1">
        <w:r>
          <w:rPr>
            <w:rStyle w:val="Hyperlink"/>
            <w:noProof/>
          </w:rPr>
          <w:t xml:space="preserve">Appendix F </w:t>
        </w:r>
        <w:r>
          <w:rPr>
            <w:rStyle w:val="Hyperlink"/>
            <w:noProof/>
          </w:rPr>
          <w:tab/>
          <w:t>Security Committee</w:t>
        </w:r>
        <w:r>
          <w:rPr>
            <w:noProof/>
            <w:webHidden/>
          </w:rPr>
          <w:tab/>
        </w:r>
        <w:r>
          <w:rPr>
            <w:noProof/>
            <w:webHidden/>
          </w:rPr>
          <w:fldChar w:fldCharType="begin"/>
        </w:r>
        <w:r>
          <w:rPr>
            <w:noProof/>
            <w:webHidden/>
          </w:rPr>
          <w:instrText xml:space="preserve"> PAGEREF _Toc458876072 \h </w:instrText>
        </w:r>
        <w:r>
          <w:rPr>
            <w:noProof/>
            <w:webHidden/>
          </w:rPr>
        </w:r>
        <w:r>
          <w:rPr>
            <w:noProof/>
            <w:webHidden/>
          </w:rPr>
          <w:fldChar w:fldCharType="separate"/>
        </w:r>
        <w:r>
          <w:rPr>
            <w:noProof/>
            <w:webHidden/>
          </w:rPr>
          <w:t>29</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73" w:history="1">
        <w:r>
          <w:rPr>
            <w:rStyle w:val="Hyperlink"/>
            <w:noProof/>
          </w:rPr>
          <w:t xml:space="preserve">Appendix G </w:t>
        </w:r>
        <w:r>
          <w:rPr>
            <w:rStyle w:val="Hyperlink"/>
            <w:noProof/>
          </w:rPr>
          <w:tab/>
          <w:t>Voting Committee</w:t>
        </w:r>
        <w:r>
          <w:rPr>
            <w:noProof/>
            <w:webHidden/>
          </w:rPr>
          <w:tab/>
        </w:r>
        <w:r>
          <w:rPr>
            <w:noProof/>
            <w:webHidden/>
          </w:rPr>
          <w:fldChar w:fldCharType="begin"/>
        </w:r>
        <w:r>
          <w:rPr>
            <w:noProof/>
            <w:webHidden/>
          </w:rPr>
          <w:instrText xml:space="preserve"> PAGEREF _Toc458876073 \h </w:instrText>
        </w:r>
        <w:r>
          <w:rPr>
            <w:noProof/>
            <w:webHidden/>
          </w:rPr>
        </w:r>
        <w:r>
          <w:rPr>
            <w:noProof/>
            <w:webHidden/>
          </w:rPr>
          <w:fldChar w:fldCharType="separate"/>
        </w:r>
        <w:r>
          <w:rPr>
            <w:noProof/>
            <w:webHidden/>
          </w:rPr>
          <w:t>33</w:t>
        </w:r>
        <w:r>
          <w:rPr>
            <w:noProof/>
            <w:webHidden/>
          </w:rPr>
          <w:fldChar w:fldCharType="end"/>
        </w:r>
      </w:hyperlink>
    </w:p>
    <w:p>
      <w:pPr>
        <w:pStyle w:val="TOC1"/>
        <w:tabs>
          <w:tab w:val="clear" w:pos="1440"/>
          <w:tab w:val="left" w:pos="1260"/>
        </w:tabs>
        <w:rPr>
          <w:rFonts w:eastAsiaTheme="minorEastAsia" w:cstheme="minorBidi"/>
          <w:noProof/>
          <w:lang w:eastAsia="en-US"/>
        </w:rPr>
      </w:pPr>
      <w:hyperlink w:anchor="_Toc458876074" w:history="1">
        <w:r>
          <w:rPr>
            <w:rStyle w:val="Hyperlink"/>
            <w:noProof/>
          </w:rPr>
          <w:t xml:space="preserve">Appendix H </w:t>
        </w:r>
        <w:r>
          <w:rPr>
            <w:rStyle w:val="Hyperlink"/>
            <w:noProof/>
          </w:rPr>
          <w:tab/>
          <w:t>USACM Membership</w:t>
        </w:r>
        <w:r>
          <w:rPr>
            <w:noProof/>
            <w:webHidden/>
          </w:rPr>
          <w:tab/>
        </w:r>
        <w:r>
          <w:rPr>
            <w:noProof/>
            <w:webHidden/>
          </w:rPr>
          <w:fldChar w:fldCharType="begin"/>
        </w:r>
        <w:r>
          <w:rPr>
            <w:noProof/>
            <w:webHidden/>
          </w:rPr>
          <w:instrText xml:space="preserve"> PAGEREF _Toc458876074 \h </w:instrText>
        </w:r>
        <w:r>
          <w:rPr>
            <w:noProof/>
            <w:webHidden/>
          </w:rPr>
        </w:r>
        <w:r>
          <w:rPr>
            <w:noProof/>
            <w:webHidden/>
          </w:rPr>
          <w:fldChar w:fldCharType="separate"/>
        </w:r>
        <w:r>
          <w:rPr>
            <w:noProof/>
            <w:webHidden/>
          </w:rPr>
          <w:t>35</w:t>
        </w:r>
        <w:r>
          <w:rPr>
            <w:noProof/>
            <w:webHidden/>
          </w:rPr>
          <w:fldChar w:fldCharType="end"/>
        </w:r>
      </w:hyperlink>
    </w:p>
    <w:p>
      <w:pPr>
        <w:tabs>
          <w:tab w:val="left" w:pos="1260"/>
        </w:tabs>
      </w:pPr>
      <w:r>
        <w:fldChar w:fldCharType="end"/>
      </w:r>
    </w:p>
    <w:p>
      <w:pPr>
        <w:rPr>
          <w:lang w:eastAsia="ja-JP"/>
        </w:rPr>
      </w:pPr>
    </w:p>
    <w:p>
      <w:pPr>
        <w:rPr>
          <w:lang w:eastAsia="ja-JP"/>
        </w:rPr>
        <w:sectPr>
          <w:footerReference w:type="default" r:id="rId12"/>
          <w:pgSz w:w="12240" w:h="15840"/>
          <w:pgMar w:top="2160" w:right="1440" w:bottom="1440" w:left="1440" w:header="0" w:footer="720" w:gutter="0"/>
          <w:cols w:space="720"/>
          <w:docGrid w:linePitch="326"/>
        </w:sectPr>
      </w:pPr>
    </w:p>
    <w:p>
      <w:pPr>
        <w:pStyle w:val="Heading9"/>
      </w:pPr>
      <w:bookmarkStart w:id="3" w:name="_Toc458876067"/>
      <w:r>
        <w:t>Appendix A</w:t>
      </w:r>
      <w:r>
        <w:br w:type="textWrapping" w:clear="all"/>
        <w:t>Accessibility Committee</w:t>
      </w:r>
      <w:bookmarkEnd w:id="3"/>
      <w:r>
        <w:t xml:space="preserve"> </w:t>
      </w:r>
    </w:p>
    <w:p>
      <w:pPr>
        <w:rPr>
          <w:lang w:eastAsia="ja-JP"/>
        </w:rPr>
      </w:pPr>
    </w:p>
    <w:p>
      <w:pPr>
        <w:jc w:val="center"/>
        <w:rPr>
          <w:b/>
        </w:rPr>
      </w:pPr>
      <w:r>
        <w:rPr>
          <w:b/>
        </w:rPr>
        <w:t>ANNUAL REPORT</w:t>
      </w:r>
    </w:p>
    <w:p>
      <w:pPr>
        <w:tabs>
          <w:tab w:val="left" w:pos="432"/>
          <w:tab w:val="left" w:pos="720"/>
          <w:tab w:val="left" w:pos="1152"/>
          <w:tab w:val="left" w:pos="3744"/>
          <w:tab w:val="left" w:pos="6192"/>
        </w:tabs>
        <w:spacing w:line="278" w:lineRule="auto"/>
        <w:jc w:val="center"/>
      </w:pPr>
      <w:proofErr w:type="gramStart"/>
      <w:r>
        <w:t>of</w:t>
      </w:r>
      <w:proofErr w:type="gramEnd"/>
      <w:r>
        <w:t xml:space="preserve"> the ACCESSIBILITY COMMITTEE </w:t>
      </w:r>
      <w:r>
        <w:br w:type="textWrapping" w:clear="all"/>
        <w:t xml:space="preserve">of the </w:t>
      </w:r>
      <w:r>
        <w:rPr>
          <w:caps/>
        </w:rPr>
        <w:t>ACM U.S. Public Policy Council</w:t>
      </w:r>
      <w:r>
        <w:br w:type="textWrapping" w:clear="all"/>
        <w:t>For the Period:  July 1, 2015- June 30, 2016</w:t>
      </w:r>
    </w:p>
    <w:p>
      <w:pPr>
        <w:tabs>
          <w:tab w:val="left" w:pos="432"/>
          <w:tab w:val="left" w:pos="720"/>
          <w:tab w:val="left" w:pos="1152"/>
          <w:tab w:val="left" w:pos="3744"/>
          <w:tab w:val="left" w:pos="6192"/>
        </w:tabs>
        <w:spacing w:line="278" w:lineRule="auto"/>
        <w:jc w:val="center"/>
      </w:pPr>
      <w:r>
        <w:t>Submitted by ___</w:t>
      </w:r>
      <w:r>
        <w:rPr>
          <w:u w:val="single"/>
        </w:rPr>
        <w:t>Harry Hochheiser, Chair</w:t>
      </w:r>
      <w:r>
        <w:t>_____</w:t>
      </w:r>
    </w:p>
    <w:p>
      <w:pPr>
        <w:pStyle w:val="Heading1"/>
        <w:numPr>
          <w:ilvl w:val="0"/>
          <w:numId w:val="19"/>
        </w:numPr>
      </w:pPr>
      <w:r>
        <w:t>BASIC INFORMATION</w:t>
      </w:r>
    </w:p>
    <w:p>
      <w:pPr>
        <w:pStyle w:val="Heading2"/>
      </w:pPr>
      <w:r>
        <w:t>Accessibility Committee Members</w:t>
      </w:r>
    </w:p>
    <w:p>
      <w:pPr>
        <w:tabs>
          <w:tab w:val="left" w:pos="432"/>
          <w:tab w:val="left" w:pos="720"/>
          <w:tab w:val="left" w:pos="1152"/>
          <w:tab w:val="left" w:pos="3744"/>
          <w:tab w:val="left" w:pos="6192"/>
        </w:tabs>
        <w:spacing w:line="278" w:lineRule="auto"/>
        <w:ind w:left="720"/>
      </w:pPr>
      <w:r>
        <w:t>Harry Hochheiser (Chair)</w:t>
      </w:r>
    </w:p>
    <w:p>
      <w:pPr>
        <w:tabs>
          <w:tab w:val="left" w:pos="432"/>
          <w:tab w:val="left" w:pos="720"/>
          <w:tab w:val="left" w:pos="1152"/>
          <w:tab w:val="left" w:pos="3744"/>
        </w:tabs>
        <w:spacing w:line="278" w:lineRule="auto"/>
        <w:ind w:left="720"/>
      </w:pPr>
      <w:r>
        <w:t xml:space="preserve">Ben </w:t>
      </w:r>
      <w:proofErr w:type="spellStart"/>
      <w:r>
        <w:t>Bederson</w:t>
      </w:r>
      <w:proofErr w:type="spellEnd"/>
    </w:p>
    <w:p>
      <w:pPr>
        <w:tabs>
          <w:tab w:val="left" w:pos="432"/>
          <w:tab w:val="left" w:pos="720"/>
          <w:tab w:val="left" w:pos="1152"/>
          <w:tab w:val="left" w:pos="3744"/>
          <w:tab w:val="left" w:pos="6192"/>
        </w:tabs>
        <w:spacing w:line="278" w:lineRule="auto"/>
        <w:ind w:left="720"/>
      </w:pPr>
      <w:r>
        <w:t xml:space="preserve">Jim </w:t>
      </w:r>
      <w:proofErr w:type="spellStart"/>
      <w:r>
        <w:t>Cohoon</w:t>
      </w:r>
      <w:proofErr w:type="spellEnd"/>
    </w:p>
    <w:p>
      <w:pPr>
        <w:tabs>
          <w:tab w:val="left" w:pos="432"/>
          <w:tab w:val="left" w:pos="720"/>
          <w:tab w:val="left" w:pos="1152"/>
          <w:tab w:val="left" w:pos="3744"/>
          <w:tab w:val="left" w:pos="6192"/>
        </w:tabs>
        <w:spacing w:line="278" w:lineRule="auto"/>
        <w:ind w:left="720"/>
      </w:pPr>
      <w:r>
        <w:t>Lillie Coney</w:t>
      </w:r>
    </w:p>
    <w:p>
      <w:pPr>
        <w:tabs>
          <w:tab w:val="left" w:pos="432"/>
          <w:tab w:val="left" w:pos="720"/>
          <w:tab w:val="left" w:pos="1152"/>
          <w:tab w:val="left" w:pos="3744"/>
          <w:tab w:val="left" w:pos="6192"/>
        </w:tabs>
        <w:spacing w:line="278" w:lineRule="auto"/>
        <w:ind w:left="720"/>
      </w:pPr>
      <w:r>
        <w:t>Dave Farber</w:t>
      </w:r>
    </w:p>
    <w:p>
      <w:pPr>
        <w:tabs>
          <w:tab w:val="left" w:pos="432"/>
          <w:tab w:val="left" w:pos="720"/>
          <w:tab w:val="left" w:pos="1152"/>
          <w:tab w:val="left" w:pos="3744"/>
          <w:tab w:val="left" w:pos="6192"/>
        </w:tabs>
        <w:spacing w:line="278" w:lineRule="auto"/>
        <w:ind w:left="720"/>
      </w:pPr>
      <w:r>
        <w:t>Stuart Feldman</w:t>
      </w:r>
    </w:p>
    <w:p>
      <w:pPr>
        <w:tabs>
          <w:tab w:val="left" w:pos="432"/>
          <w:tab w:val="left" w:pos="720"/>
          <w:tab w:val="left" w:pos="1152"/>
          <w:tab w:val="left" w:pos="3744"/>
          <w:tab w:val="left" w:pos="6192"/>
        </w:tabs>
        <w:spacing w:line="278" w:lineRule="auto"/>
        <w:ind w:left="720"/>
      </w:pPr>
      <w:r>
        <w:t>Don Gotterbarn</w:t>
      </w:r>
    </w:p>
    <w:p>
      <w:pPr>
        <w:tabs>
          <w:tab w:val="left" w:pos="432"/>
          <w:tab w:val="left" w:pos="720"/>
          <w:tab w:val="left" w:pos="1152"/>
          <w:tab w:val="left" w:pos="3744"/>
          <w:tab w:val="left" w:pos="6192"/>
        </w:tabs>
        <w:spacing w:line="278" w:lineRule="auto"/>
        <w:ind w:left="720"/>
      </w:pPr>
      <w:r>
        <w:t xml:space="preserve">Juan </w:t>
      </w:r>
      <w:proofErr w:type="spellStart"/>
      <w:r>
        <w:t>Hourcade</w:t>
      </w:r>
      <w:proofErr w:type="spellEnd"/>
    </w:p>
    <w:p>
      <w:pPr>
        <w:tabs>
          <w:tab w:val="left" w:pos="432"/>
          <w:tab w:val="left" w:pos="720"/>
          <w:tab w:val="left" w:pos="1152"/>
          <w:tab w:val="left" w:pos="3744"/>
          <w:tab w:val="left" w:pos="6192"/>
        </w:tabs>
        <w:spacing w:line="278" w:lineRule="auto"/>
        <w:ind w:left="720"/>
      </w:pPr>
      <w:r>
        <w:t>Chuck House</w:t>
      </w:r>
    </w:p>
    <w:p>
      <w:pPr>
        <w:tabs>
          <w:tab w:val="left" w:pos="432"/>
          <w:tab w:val="left" w:pos="720"/>
          <w:tab w:val="left" w:pos="1152"/>
          <w:tab w:val="left" w:pos="3744"/>
          <w:tab w:val="left" w:pos="6192"/>
        </w:tabs>
        <w:spacing w:line="278" w:lineRule="auto"/>
        <w:ind w:left="720"/>
      </w:pPr>
      <w:r>
        <w:t>Douglas Jones</w:t>
      </w:r>
    </w:p>
    <w:p>
      <w:pPr>
        <w:tabs>
          <w:tab w:val="left" w:pos="432"/>
          <w:tab w:val="left" w:pos="720"/>
          <w:tab w:val="left" w:pos="1152"/>
          <w:tab w:val="left" w:pos="3744"/>
          <w:tab w:val="left" w:pos="6192"/>
        </w:tabs>
        <w:spacing w:line="278" w:lineRule="auto"/>
        <w:ind w:left="720"/>
      </w:pPr>
      <w:r>
        <w:t>Lorraine Kisselburgh</w:t>
      </w:r>
    </w:p>
    <w:p>
      <w:pPr>
        <w:tabs>
          <w:tab w:val="left" w:pos="432"/>
          <w:tab w:val="left" w:pos="720"/>
          <w:tab w:val="left" w:pos="1152"/>
          <w:tab w:val="left" w:pos="3744"/>
          <w:tab w:val="left" w:pos="6192"/>
        </w:tabs>
        <w:spacing w:line="278" w:lineRule="auto"/>
        <w:ind w:left="720"/>
      </w:pPr>
      <w:r>
        <w:t>Jonathan Lazar</w:t>
      </w:r>
    </w:p>
    <w:p>
      <w:pPr>
        <w:tabs>
          <w:tab w:val="left" w:pos="432"/>
          <w:tab w:val="left" w:pos="720"/>
          <w:tab w:val="left" w:pos="1152"/>
          <w:tab w:val="left" w:pos="3744"/>
          <w:tab w:val="left" w:pos="6192"/>
        </w:tabs>
        <w:spacing w:line="278" w:lineRule="auto"/>
        <w:ind w:left="720"/>
      </w:pPr>
      <w:r>
        <w:t>Clayton Lewis</w:t>
      </w:r>
    </w:p>
    <w:p>
      <w:pPr>
        <w:tabs>
          <w:tab w:val="left" w:pos="432"/>
          <w:tab w:val="left" w:pos="720"/>
          <w:tab w:val="left" w:pos="1152"/>
          <w:tab w:val="left" w:pos="3744"/>
          <w:tab w:val="left" w:pos="6192"/>
        </w:tabs>
        <w:spacing w:line="278" w:lineRule="auto"/>
        <w:ind w:left="720"/>
      </w:pPr>
      <w:r>
        <w:t>Andy Oram</w:t>
      </w:r>
    </w:p>
    <w:p>
      <w:pPr>
        <w:tabs>
          <w:tab w:val="left" w:pos="432"/>
          <w:tab w:val="left" w:pos="720"/>
          <w:tab w:val="left" w:pos="1152"/>
          <w:tab w:val="left" w:pos="3744"/>
          <w:tab w:val="left" w:pos="6192"/>
        </w:tabs>
        <w:spacing w:line="278" w:lineRule="auto"/>
        <w:ind w:left="720"/>
      </w:pPr>
      <w:r>
        <w:t>Andrew Sears</w:t>
      </w:r>
    </w:p>
    <w:p>
      <w:pPr>
        <w:tabs>
          <w:tab w:val="left" w:pos="432"/>
          <w:tab w:val="left" w:pos="720"/>
          <w:tab w:val="left" w:pos="1152"/>
          <w:tab w:val="left" w:pos="3744"/>
          <w:tab w:val="left" w:pos="6192"/>
        </w:tabs>
        <w:spacing w:line="278" w:lineRule="auto"/>
        <w:ind w:left="720"/>
      </w:pPr>
      <w:r>
        <w:t xml:space="preserve">Ben </w:t>
      </w:r>
      <w:proofErr w:type="spellStart"/>
      <w:r>
        <w:t>Shneiderman</w:t>
      </w:r>
      <w:proofErr w:type="spellEnd"/>
    </w:p>
    <w:p>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pPr>
        <w:pStyle w:val="Heading2"/>
      </w:pPr>
      <w:r>
        <w:t>Purpose of the Accessibility Committee</w:t>
      </w:r>
    </w:p>
    <w:p>
      <w:pPr>
        <w:ind w:left="720"/>
      </w:pPr>
      <w:r>
        <w:t>The Accessibility Committee strives to advance public policies, practices, and research in usability, accessibility, and accessible technologies.</w:t>
      </w:r>
    </w:p>
    <w:p>
      <w:pPr>
        <w:pStyle w:val="Heading2"/>
      </w:pPr>
      <w:r>
        <w:t>Accessibility Committee Meetings</w:t>
      </w:r>
    </w:p>
    <w:p>
      <w:pPr>
        <w:tabs>
          <w:tab w:val="left" w:pos="432"/>
          <w:tab w:val="left" w:pos="720"/>
          <w:tab w:val="left" w:pos="1152"/>
          <w:tab w:val="left" w:pos="3744"/>
          <w:tab w:val="left" w:pos="6192"/>
        </w:tabs>
        <w:spacing w:line="278" w:lineRule="auto"/>
        <w:ind w:left="720"/>
      </w:pPr>
      <w:r>
        <w:t>Committee business is conducted by listserv discussions.</w:t>
      </w:r>
    </w:p>
    <w:p>
      <w:pPr>
        <w:pStyle w:val="Heading1"/>
      </w:pPr>
      <w:r>
        <w:t>PROJECT SUMMARY</w:t>
      </w:r>
    </w:p>
    <w:p>
      <w:pPr>
        <w:ind w:left="720"/>
      </w:pPr>
      <w:r>
        <w:rPr>
          <w:b/>
        </w:rPr>
        <w:t>Americans with Disabilities Act 25th Anniversary</w:t>
      </w:r>
    </w:p>
    <w:p>
      <w:pPr>
        <w:ind w:left="720"/>
      </w:pPr>
      <w:r>
        <w:t>The committee developed a statement and press release on how computing advances during the past 25 years have helped empower people with disabilities. USACM published the statement on July 26, 2015, the 25th anniversary of the Americans with Disabilities Act (ADA). This led to media interviews.</w:t>
      </w:r>
    </w:p>
    <w:p>
      <w:pPr>
        <w:ind w:left="720"/>
      </w:pPr>
    </w:p>
    <w:p>
      <w:pPr>
        <w:ind w:left="720"/>
        <w:rPr>
          <w:b/>
        </w:rPr>
      </w:pPr>
      <w:r>
        <w:rPr>
          <w:b/>
        </w:rPr>
        <w:t>Comments to the U.S. Department of Health and Human Services on Federal Regulations Governing the Protection of Research Participants</w:t>
      </w:r>
    </w:p>
    <w:p>
      <w:pPr>
        <w:ind w:left="720"/>
      </w:pPr>
      <w:r>
        <w:t>The committee collaborated with other committees and ACM's Special Interest Groups (SIGs) on comments submitted to the U.S. Department of Health and Human Services (HHS) on proposed updates to the federal regulations for research involving human subjects. These regulations, known as the Common Rule, are used by 20+ federal agencies and have implications for researchers and individuals participating in federally funded research studies. They have significance for computing professionals conducting behavioral, analytic, and clinical studies, especially in the subfields of computer security, information assurance, computer networks, computer-human interaction, accessibility, and usability. USACM provided detailed comments, particularly addressing data security, re-identification, exempt studies, and multi-center studies.</w:t>
      </w:r>
    </w:p>
    <w:p>
      <w:pPr>
        <w:pStyle w:val="Heading1"/>
      </w:pPr>
      <w:r>
        <w:t>Plans</w:t>
      </w:r>
    </w:p>
    <w:p>
      <w:pPr>
        <w:pStyle w:val="Heading2"/>
      </w:pPr>
      <w:r>
        <w:t>Proposed Projects</w:t>
      </w:r>
    </w:p>
    <w:p>
      <w:pPr>
        <w:ind w:left="720"/>
        <w:rPr>
          <w:color w:val="000000"/>
        </w:rPr>
      </w:pPr>
      <w:r>
        <w:rPr>
          <w:b/>
          <w:color w:val="000000"/>
        </w:rPr>
        <w:t>U.S. Department of Justice:</w:t>
      </w:r>
      <w:r>
        <w:rPr>
          <w:color w:val="000000"/>
        </w:rPr>
        <w:t xml:space="preserve"> </w:t>
      </w:r>
      <w:r>
        <w:rPr>
          <w:b/>
          <w:color w:val="000000"/>
        </w:rPr>
        <w:t>Accessibility Regulations under the ADA</w:t>
      </w:r>
      <w:r>
        <w:rPr>
          <w:color w:val="000000"/>
        </w:rPr>
        <w:t xml:space="preserve"> </w:t>
      </w:r>
    </w:p>
    <w:p>
      <w:pPr>
        <w:spacing w:after="240"/>
        <w:ind w:left="720"/>
        <w:rPr>
          <w:color w:val="000000"/>
        </w:rPr>
      </w:pPr>
      <w:r>
        <w:t xml:space="preserve">The committee will develop comments in response </w:t>
      </w:r>
      <w:r>
        <w:rPr>
          <w:color w:val="000000"/>
        </w:rPr>
        <w:t>to the Supplemental Advance Notice of Proposed Rulemaking (SANPRM) on proposed accessibility regulations for state and local governments under Title II of the Americans with Disabilities Act (ADA). The proposed regulations will address the obligations of state and local governments to make their digital content accessible to and usable by individuals with disabilities.</w:t>
      </w:r>
    </w:p>
    <w:p>
      <w:pPr>
        <w:ind w:left="720"/>
        <w:rPr>
          <w:b/>
          <w:bCs/>
        </w:rPr>
      </w:pPr>
      <w:r>
        <w:rPr>
          <w:b/>
          <w:bCs/>
        </w:rPr>
        <w:t>U.S. Access Board: ICT Accessibility Standards and Guidelines</w:t>
      </w:r>
    </w:p>
    <w:p>
      <w:pPr>
        <w:ind w:left="720"/>
        <w:rPr>
          <w:color w:val="000000"/>
        </w:rPr>
      </w:pPr>
      <w:r>
        <w:t xml:space="preserve">The committee will monitor for the regulatory outcome of updated federal accessibility standards and guidelines for information and communication technology (ICT) under Section 508 of the Rehabilitation Act and Section 255 of the Telecommunications Act. The new standards will apply digital services and technologies used and procured by the federal government, including websites, mobile apps, mobile devices, software, hardware, phone systems, copiers, and other  telecommunications equipment. Once released, the committee will evaluate how to assist with their effective implementation by federal agencies.  </w:t>
      </w:r>
    </w:p>
    <w:p>
      <w:pPr>
        <w:jc w:val="center"/>
        <w:rPr>
          <w:b/>
        </w:rPr>
      </w:pPr>
    </w:p>
    <w:p>
      <w:pPr>
        <w:jc w:val="center"/>
        <w:rPr>
          <w:b/>
        </w:rPr>
      </w:pPr>
      <w:r>
        <w:rPr>
          <w:b/>
        </w:rPr>
        <w:br w:type="page"/>
      </w:r>
    </w:p>
    <w:p>
      <w:pPr>
        <w:jc w:val="center"/>
        <w:rPr>
          <w:b/>
        </w:rPr>
      </w:pPr>
      <w:r>
        <w:rPr>
          <w:b/>
        </w:rPr>
        <w:t>ACCESSIBILITY COMMITTEE APPENDIX</w:t>
      </w:r>
    </w:p>
    <w:p>
      <w:pPr>
        <w:spacing w:line="278" w:lineRule="auto"/>
      </w:pPr>
    </w:p>
    <w:p>
      <w:pPr>
        <w:spacing w:line="278" w:lineRule="auto"/>
        <w:ind w:left="720"/>
      </w:pPr>
      <w:r>
        <w:t xml:space="preserve">Address list of all committee members and other persons responsible for projects. </w:t>
      </w:r>
    </w:p>
    <w:p>
      <w:pPr>
        <w:spacing w:line="278" w:lineRule="auto"/>
      </w:pPr>
    </w:p>
    <w:p>
      <w:pPr>
        <w:spacing w:line="278" w:lineRule="auto"/>
        <w:ind w:left="720" w:firstLine="720"/>
      </w:pPr>
      <w:r>
        <w:t>Name:</w:t>
      </w:r>
      <w:r>
        <w:tab/>
        <w:t>Harry Hochheiser</w:t>
      </w:r>
      <w:r>
        <w:tab/>
      </w:r>
      <w:r>
        <w:tab/>
      </w:r>
      <w:r>
        <w:tab/>
      </w:r>
      <w:r>
        <w:tab/>
      </w:r>
      <w:r>
        <w:tab/>
      </w:r>
      <w:r>
        <w:tab/>
      </w:r>
    </w:p>
    <w:p>
      <w:pPr>
        <w:spacing w:line="278" w:lineRule="auto"/>
        <w:ind w:left="720"/>
      </w:pPr>
      <w:r>
        <w:tab/>
        <w:t>Address: 5607 Baum Boulevard, Pittsburgh, PA 15206</w:t>
      </w:r>
    </w:p>
    <w:p>
      <w:pPr>
        <w:spacing w:line="278" w:lineRule="auto"/>
        <w:ind w:left="720"/>
      </w:pPr>
      <w:r>
        <w:tab/>
        <w:t>Phone: 412-648-9300</w:t>
      </w:r>
    </w:p>
    <w:p>
      <w:pPr>
        <w:spacing w:line="278" w:lineRule="auto"/>
        <w:ind w:left="720"/>
      </w:pPr>
      <w:r>
        <w:tab/>
        <w:t>Email: hshoch@gmail.com</w:t>
      </w:r>
    </w:p>
    <w:p>
      <w:pPr>
        <w:spacing w:line="278" w:lineRule="auto"/>
        <w:ind w:left="720"/>
      </w:pPr>
      <w:r>
        <w:tab/>
        <w:t xml:space="preserve">Responsibility within the Committee: Chair </w:t>
      </w:r>
    </w:p>
    <w:p>
      <w:pPr>
        <w:pStyle w:val="Heading9"/>
      </w:pPr>
      <w:r>
        <w:rPr>
          <w:i/>
        </w:rPr>
        <w:br w:type="page"/>
      </w:r>
      <w:bookmarkStart w:id="4" w:name="_Toc458876068"/>
      <w:r>
        <w:t>Appendix B</w:t>
      </w:r>
      <w:r>
        <w:br w:type="textWrapping" w:clear="all"/>
        <w:t>Digital Governance Committee</w:t>
      </w:r>
      <w:bookmarkEnd w:id="4"/>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Digital GovernANCE Committee</w:t>
      </w:r>
      <w:r>
        <w:t xml:space="preserve"> </w:t>
      </w:r>
      <w:r>
        <w:br w:type="textWrapping" w:clear="all"/>
        <w:t xml:space="preserve">of the </w:t>
      </w:r>
      <w:r>
        <w:rPr>
          <w:caps/>
        </w:rPr>
        <w:t>ACM U.S. Public Policy Council</w:t>
      </w:r>
    </w:p>
    <w:p>
      <w:pPr>
        <w:spacing w:line="278" w:lineRule="auto"/>
        <w:jc w:val="center"/>
      </w:pPr>
      <w:r>
        <w:t>For the Period:  July 1, 2015 - June 30, 2016</w:t>
      </w:r>
    </w:p>
    <w:p>
      <w:pPr>
        <w:spacing w:line="278" w:lineRule="auto"/>
        <w:jc w:val="center"/>
      </w:pPr>
      <w:r>
        <w:t>Submitted by ___</w:t>
      </w:r>
      <w:r>
        <w:rPr>
          <w:u w:val="single"/>
        </w:rPr>
        <w:t>Chris Bronk, Chair_____</w:t>
      </w:r>
    </w:p>
    <w:p>
      <w:pPr>
        <w:pStyle w:val="Heading1"/>
        <w:numPr>
          <w:ilvl w:val="0"/>
          <w:numId w:val="30"/>
        </w:numPr>
      </w:pPr>
      <w:r>
        <w:t>BASIC INFORMATION</w:t>
      </w:r>
    </w:p>
    <w:p>
      <w:pPr>
        <w:pStyle w:val="Heading2"/>
      </w:pPr>
      <w:r>
        <w:t>Digital Governance Committee Members</w:t>
      </w:r>
    </w:p>
    <w:p>
      <w:pPr>
        <w:widowControl w:val="0"/>
        <w:tabs>
          <w:tab w:val="left" w:pos="720"/>
        </w:tabs>
        <w:autoSpaceDE w:val="0"/>
        <w:autoSpaceDN w:val="0"/>
        <w:adjustRightInd w:val="0"/>
        <w:spacing w:line="278" w:lineRule="auto"/>
        <w:ind w:left="720"/>
        <w:rPr>
          <w:lang w:eastAsia="ja-JP"/>
        </w:rPr>
      </w:pPr>
      <w:r>
        <w:rPr>
          <w:lang w:eastAsia="ja-JP"/>
        </w:rPr>
        <w:t xml:space="preserve">Chris Bronk (Chair) </w:t>
      </w:r>
    </w:p>
    <w:p>
      <w:pPr>
        <w:widowControl w:val="0"/>
        <w:tabs>
          <w:tab w:val="left" w:pos="720"/>
        </w:tabs>
        <w:autoSpaceDE w:val="0"/>
        <w:autoSpaceDN w:val="0"/>
        <w:adjustRightInd w:val="0"/>
        <w:spacing w:line="278" w:lineRule="auto"/>
        <w:ind w:left="720"/>
        <w:rPr>
          <w:lang w:eastAsia="ja-JP"/>
        </w:rPr>
      </w:pPr>
      <w:r>
        <w:rPr>
          <w:lang w:eastAsia="ja-JP"/>
        </w:rPr>
        <w:t>Jeremy Barksdale</w:t>
      </w:r>
    </w:p>
    <w:p>
      <w:pPr>
        <w:widowControl w:val="0"/>
        <w:tabs>
          <w:tab w:val="left" w:pos="720"/>
        </w:tabs>
        <w:autoSpaceDE w:val="0"/>
        <w:autoSpaceDN w:val="0"/>
        <w:adjustRightInd w:val="0"/>
        <w:spacing w:line="278" w:lineRule="auto"/>
        <w:ind w:left="720"/>
        <w:rPr>
          <w:lang w:eastAsia="ja-JP"/>
        </w:rPr>
      </w:pPr>
      <w:r>
        <w:rPr>
          <w:lang w:eastAsia="ja-JP"/>
        </w:rPr>
        <w:t>Lillie Coney</w:t>
      </w:r>
    </w:p>
    <w:p>
      <w:pPr>
        <w:widowControl w:val="0"/>
        <w:tabs>
          <w:tab w:val="left" w:pos="720"/>
        </w:tabs>
        <w:autoSpaceDE w:val="0"/>
        <w:autoSpaceDN w:val="0"/>
        <w:adjustRightInd w:val="0"/>
        <w:spacing w:line="278" w:lineRule="auto"/>
        <w:ind w:left="720"/>
        <w:rPr>
          <w:lang w:eastAsia="ja-JP"/>
        </w:rPr>
      </w:pPr>
      <w:r>
        <w:rPr>
          <w:lang w:eastAsia="ja-JP"/>
        </w:rPr>
        <w:t xml:space="preserve">William </w:t>
      </w:r>
      <w:proofErr w:type="spellStart"/>
      <w:r>
        <w:rPr>
          <w:lang w:eastAsia="ja-JP"/>
        </w:rPr>
        <w:t>Doane</w:t>
      </w:r>
      <w:proofErr w:type="spellEnd"/>
    </w:p>
    <w:p>
      <w:pPr>
        <w:widowControl w:val="0"/>
        <w:tabs>
          <w:tab w:val="left" w:pos="720"/>
        </w:tabs>
        <w:autoSpaceDE w:val="0"/>
        <w:autoSpaceDN w:val="0"/>
        <w:adjustRightInd w:val="0"/>
        <w:spacing w:line="278" w:lineRule="auto"/>
        <w:ind w:left="720"/>
        <w:rPr>
          <w:lang w:eastAsia="ja-JP"/>
        </w:rPr>
      </w:pPr>
      <w:r>
        <w:rPr>
          <w:lang w:eastAsia="ja-JP"/>
        </w:rPr>
        <w:t>Dave Farber</w:t>
      </w:r>
    </w:p>
    <w:p>
      <w:pPr>
        <w:widowControl w:val="0"/>
        <w:tabs>
          <w:tab w:val="left" w:pos="720"/>
        </w:tabs>
        <w:autoSpaceDE w:val="0"/>
        <w:autoSpaceDN w:val="0"/>
        <w:adjustRightInd w:val="0"/>
        <w:spacing w:line="278" w:lineRule="auto"/>
        <w:ind w:left="720"/>
        <w:rPr>
          <w:lang w:eastAsia="ja-JP"/>
        </w:rPr>
      </w:pPr>
      <w:r>
        <w:rPr>
          <w:lang w:eastAsia="ja-JP"/>
        </w:rPr>
        <w:t>Stuart Feldman</w:t>
      </w:r>
    </w:p>
    <w:p>
      <w:pPr>
        <w:widowControl w:val="0"/>
        <w:tabs>
          <w:tab w:val="left" w:pos="720"/>
        </w:tabs>
        <w:autoSpaceDE w:val="0"/>
        <w:autoSpaceDN w:val="0"/>
        <w:adjustRightInd w:val="0"/>
        <w:spacing w:line="278" w:lineRule="auto"/>
        <w:ind w:left="720"/>
        <w:rPr>
          <w:lang w:eastAsia="ja-JP"/>
        </w:rPr>
      </w:pPr>
      <w:r>
        <w:rPr>
          <w:lang w:eastAsia="ja-JP"/>
        </w:rPr>
        <w:t>Don Gotterbarn</w:t>
      </w:r>
    </w:p>
    <w:p>
      <w:pPr>
        <w:widowControl w:val="0"/>
        <w:tabs>
          <w:tab w:val="left" w:pos="720"/>
        </w:tabs>
        <w:autoSpaceDE w:val="0"/>
        <w:autoSpaceDN w:val="0"/>
        <w:adjustRightInd w:val="0"/>
        <w:spacing w:line="278" w:lineRule="auto"/>
        <w:ind w:left="720"/>
        <w:rPr>
          <w:lang w:eastAsia="ja-JP"/>
        </w:rPr>
      </w:pPr>
      <w:r>
        <w:rPr>
          <w:lang w:eastAsia="ja-JP"/>
        </w:rPr>
        <w:t>Mark P. Hahn</w:t>
      </w:r>
    </w:p>
    <w:p>
      <w:pPr>
        <w:widowControl w:val="0"/>
        <w:tabs>
          <w:tab w:val="left" w:pos="720"/>
        </w:tabs>
        <w:autoSpaceDE w:val="0"/>
        <w:autoSpaceDN w:val="0"/>
        <w:adjustRightInd w:val="0"/>
        <w:spacing w:line="278" w:lineRule="auto"/>
        <w:ind w:left="720"/>
        <w:rPr>
          <w:lang w:eastAsia="ja-JP"/>
        </w:rPr>
      </w:pPr>
      <w:r>
        <w:rPr>
          <w:lang w:eastAsia="ja-JP"/>
        </w:rPr>
        <w:t>Douglas Jones</w:t>
      </w:r>
    </w:p>
    <w:p>
      <w:pPr>
        <w:widowControl w:val="0"/>
        <w:tabs>
          <w:tab w:val="left" w:pos="720"/>
        </w:tabs>
        <w:autoSpaceDE w:val="0"/>
        <w:autoSpaceDN w:val="0"/>
        <w:adjustRightInd w:val="0"/>
        <w:spacing w:line="278" w:lineRule="auto"/>
        <w:ind w:left="720"/>
        <w:rPr>
          <w:lang w:eastAsia="ja-JP"/>
        </w:rPr>
      </w:pPr>
      <w:r>
        <w:rPr>
          <w:lang w:eastAsia="ja-JP"/>
        </w:rPr>
        <w:t>Jonathan Lazar</w:t>
      </w:r>
    </w:p>
    <w:p>
      <w:pPr>
        <w:widowControl w:val="0"/>
        <w:tabs>
          <w:tab w:val="left" w:pos="720"/>
        </w:tabs>
        <w:autoSpaceDE w:val="0"/>
        <w:autoSpaceDN w:val="0"/>
        <w:adjustRightInd w:val="0"/>
        <w:spacing w:line="278" w:lineRule="auto"/>
        <w:ind w:left="720"/>
        <w:rPr>
          <w:lang w:eastAsia="ja-JP"/>
        </w:rPr>
      </w:pPr>
      <w:r>
        <w:rPr>
          <w:lang w:eastAsia="ja-JP"/>
        </w:rPr>
        <w:t>Samuel Liles</w:t>
      </w:r>
    </w:p>
    <w:p>
      <w:pPr>
        <w:widowControl w:val="0"/>
        <w:tabs>
          <w:tab w:val="left" w:pos="720"/>
        </w:tabs>
        <w:autoSpaceDE w:val="0"/>
        <w:autoSpaceDN w:val="0"/>
        <w:adjustRightInd w:val="0"/>
        <w:spacing w:line="278" w:lineRule="auto"/>
        <w:ind w:left="720"/>
        <w:rPr>
          <w:lang w:eastAsia="ja-JP"/>
        </w:rPr>
      </w:pPr>
      <w:r>
        <w:rPr>
          <w:lang w:eastAsia="ja-JP"/>
        </w:rPr>
        <w:t>Aaron Massey</w:t>
      </w:r>
    </w:p>
    <w:p>
      <w:pPr>
        <w:widowControl w:val="0"/>
        <w:tabs>
          <w:tab w:val="left" w:pos="720"/>
        </w:tabs>
        <w:autoSpaceDE w:val="0"/>
        <w:autoSpaceDN w:val="0"/>
        <w:adjustRightInd w:val="0"/>
        <w:spacing w:line="278" w:lineRule="auto"/>
        <w:ind w:left="720"/>
        <w:rPr>
          <w:lang w:eastAsia="ja-JP"/>
        </w:rPr>
      </w:pPr>
      <w:r>
        <w:rPr>
          <w:lang w:eastAsia="ja-JP"/>
        </w:rPr>
        <w:t>Andy Oram</w:t>
      </w:r>
    </w:p>
    <w:p>
      <w:pPr>
        <w:widowControl w:val="0"/>
        <w:tabs>
          <w:tab w:val="left" w:pos="720"/>
        </w:tabs>
        <w:autoSpaceDE w:val="0"/>
        <w:autoSpaceDN w:val="0"/>
        <w:adjustRightInd w:val="0"/>
        <w:spacing w:line="278" w:lineRule="auto"/>
        <w:ind w:left="720"/>
        <w:rPr>
          <w:lang w:eastAsia="ja-JP"/>
        </w:rPr>
      </w:pPr>
      <w:r>
        <w:rPr>
          <w:lang w:eastAsia="ja-JP"/>
        </w:rPr>
        <w:t>David Robinson</w:t>
      </w:r>
    </w:p>
    <w:p>
      <w:pPr>
        <w:widowControl w:val="0"/>
        <w:tabs>
          <w:tab w:val="left" w:pos="720"/>
        </w:tabs>
        <w:autoSpaceDE w:val="0"/>
        <w:autoSpaceDN w:val="0"/>
        <w:adjustRightInd w:val="0"/>
        <w:spacing w:line="278" w:lineRule="auto"/>
        <w:ind w:left="720"/>
        <w:rPr>
          <w:lang w:eastAsia="ja-JP"/>
        </w:rPr>
      </w:pPr>
      <w:r>
        <w:rPr>
          <w:lang w:eastAsia="ja-JP"/>
        </w:rPr>
        <w:t xml:space="preserve">Ben </w:t>
      </w:r>
      <w:proofErr w:type="spellStart"/>
      <w:r>
        <w:rPr>
          <w:lang w:eastAsia="ja-JP"/>
        </w:rPr>
        <w:t>Shneiderman</w:t>
      </w:r>
      <w:proofErr w:type="spellEnd"/>
    </w:p>
    <w:p>
      <w:pPr>
        <w:widowControl w:val="0"/>
        <w:tabs>
          <w:tab w:val="left" w:pos="720"/>
        </w:tabs>
        <w:autoSpaceDE w:val="0"/>
        <w:autoSpaceDN w:val="0"/>
        <w:adjustRightInd w:val="0"/>
        <w:spacing w:line="278" w:lineRule="auto"/>
        <w:ind w:left="720"/>
        <w:rPr>
          <w:lang w:eastAsia="ja-JP"/>
        </w:rPr>
      </w:pPr>
      <w:r>
        <w:rPr>
          <w:lang w:eastAsia="ja-JP"/>
        </w:rPr>
        <w:t>Doug Schuler</w:t>
      </w:r>
    </w:p>
    <w:p>
      <w:pPr>
        <w:widowControl w:val="0"/>
        <w:tabs>
          <w:tab w:val="left" w:pos="720"/>
        </w:tabs>
        <w:autoSpaceDE w:val="0"/>
        <w:autoSpaceDN w:val="0"/>
        <w:adjustRightInd w:val="0"/>
        <w:spacing w:line="278" w:lineRule="auto"/>
        <w:ind w:left="720"/>
        <w:rPr>
          <w:i/>
          <w:iCs/>
          <w:lang w:eastAsia="ja-JP"/>
        </w:rPr>
      </w:pPr>
      <w:proofErr w:type="gramStart"/>
      <w:r>
        <w:rPr>
          <w:i/>
          <w:iCs/>
          <w:lang w:eastAsia="ja-JP"/>
        </w:rPr>
        <w:t>plus</w:t>
      </w:r>
      <w:proofErr w:type="gramEnd"/>
      <w:r>
        <w:rPr>
          <w:i/>
          <w:iCs/>
          <w:lang w:eastAsia="ja-JP"/>
        </w:rPr>
        <w:t xml:space="preserve"> all the members of USACM Council</w:t>
      </w:r>
    </w:p>
    <w:p>
      <w:pPr>
        <w:pStyle w:val="Heading2"/>
      </w:pPr>
      <w:r>
        <w:t>Purpose of the Digital Governance Committee</w:t>
      </w:r>
    </w:p>
    <w:p>
      <w:pPr>
        <w:ind w:left="720"/>
      </w:pPr>
      <w:r>
        <w:t xml:space="preserve">The Digital Governance Committee is interested in policies and technologies that can facilitate the online operations of government, citizen participation in government, and the sustainable development of the Internet. </w:t>
      </w:r>
    </w:p>
    <w:p>
      <w:pPr>
        <w:pStyle w:val="Heading2"/>
      </w:pPr>
      <w:r>
        <w:t>Digital Governance Committee Meetings</w:t>
      </w:r>
    </w:p>
    <w:p>
      <w:pPr>
        <w:tabs>
          <w:tab w:val="left" w:pos="432"/>
          <w:tab w:val="left" w:pos="720"/>
          <w:tab w:val="left" w:pos="1152"/>
          <w:tab w:val="left" w:pos="3744"/>
          <w:tab w:val="left" w:pos="6192"/>
        </w:tabs>
        <w:spacing w:line="278" w:lineRule="auto"/>
        <w:ind w:left="720"/>
      </w:pPr>
      <w:r>
        <w:t xml:space="preserve">Committee business is conducted by listserv discussions. </w:t>
      </w:r>
    </w:p>
    <w:p>
      <w:pPr>
        <w:pStyle w:val="Heading1"/>
      </w:pPr>
      <w:r>
        <w:t>PROJECT SUMMARY</w:t>
      </w:r>
    </w:p>
    <w:p>
      <w:pPr>
        <w:ind w:left="720"/>
        <w:rPr>
          <w:b/>
        </w:rPr>
      </w:pPr>
      <w:r>
        <w:rPr>
          <w:b/>
        </w:rPr>
        <w:t>Comments to the White House on a Revised Policy for Managing Federal IT Systems</w:t>
      </w:r>
    </w:p>
    <w:p>
      <w:pPr>
        <w:ind w:left="720"/>
      </w:pPr>
      <w:r>
        <w:t xml:space="preserve">The committee collaborated with other USACM committees on comments to the White House Office of Management and Budget (OMB) on proposed revisions to the policy guidance on information technology management for federal executives. </w:t>
      </w:r>
      <w:proofErr w:type="gramStart"/>
      <w:r>
        <w:t>The policy document, known as Circular No.</w:t>
      </w:r>
      <w:proofErr w:type="gramEnd"/>
      <w:r>
        <w:t xml:space="preserve"> A-130 and titled Managing Information as a Strategic Resource, was last updated 16 years ago. USACM's comments helped contribute to the strengthening of the treatment of privacy and the coordination between security and privacy functions at all levels. The draft had placed greater emphasis and more specific attention on security. As one example, the final document now requires federal agencies to implement enterprise risk management for privacy and security across organizational tiers. </w:t>
      </w:r>
    </w:p>
    <w:p>
      <w:pPr>
        <w:pStyle w:val="Heading1"/>
      </w:pPr>
      <w:r>
        <w:t>Plans</w:t>
      </w:r>
    </w:p>
    <w:p>
      <w:pPr>
        <w:pStyle w:val="Heading2"/>
      </w:pPr>
      <w:r>
        <w:t>Proposed Projects</w:t>
      </w:r>
    </w:p>
    <w:p>
      <w:pPr>
        <w:ind w:left="720"/>
      </w:pPr>
      <w:r>
        <w:t>The committee will continue to monitor policy developments and will continue its efforts to work collaboratively with and support the work of other USACM committees and working groups.</w:t>
      </w:r>
    </w:p>
    <w:p/>
    <w:p/>
    <w:p>
      <w:pPr>
        <w:jc w:val="center"/>
        <w:rPr>
          <w:b/>
        </w:rPr>
      </w:pPr>
      <w:r>
        <w:rPr>
          <w:b/>
        </w:rPr>
        <w:t>DIGITAL GOVERNANCE COMMITTEE APPENDIX</w:t>
      </w:r>
    </w:p>
    <w:p>
      <w:pPr>
        <w:spacing w:line="278" w:lineRule="auto"/>
      </w:pPr>
    </w:p>
    <w:p>
      <w:pPr>
        <w:spacing w:line="278" w:lineRule="auto"/>
        <w:ind w:left="720"/>
      </w:pPr>
      <w:r>
        <w:t xml:space="preserve">Address list of all committee members and other persons responsible for projects. </w:t>
      </w:r>
    </w:p>
    <w:p>
      <w:pPr>
        <w:spacing w:line="278" w:lineRule="auto"/>
      </w:pPr>
    </w:p>
    <w:p>
      <w:pPr>
        <w:spacing w:line="278" w:lineRule="auto"/>
        <w:ind w:left="720" w:firstLine="720"/>
      </w:pPr>
      <w:r>
        <w:t>Name:</w:t>
      </w:r>
      <w:r>
        <w:tab/>
        <w:t>Chris Bronk</w:t>
      </w:r>
      <w:r>
        <w:tab/>
      </w:r>
      <w:r>
        <w:tab/>
      </w:r>
      <w:r>
        <w:tab/>
      </w:r>
      <w:r>
        <w:tab/>
      </w:r>
      <w:r>
        <w:tab/>
      </w:r>
    </w:p>
    <w:p>
      <w:pPr>
        <w:spacing w:line="278" w:lineRule="auto"/>
        <w:ind w:left="720"/>
      </w:pPr>
      <w:r>
        <w:tab/>
        <w:t>Address: 4800 Calhoun Rd, Houston, TX  77004</w:t>
      </w:r>
      <w:r>
        <w:tab/>
      </w:r>
    </w:p>
    <w:p>
      <w:pPr>
        <w:spacing w:line="278" w:lineRule="auto"/>
        <w:ind w:left="720"/>
      </w:pPr>
      <w:r>
        <w:tab/>
        <w:t>Phone: 713-743-5593</w:t>
      </w:r>
    </w:p>
    <w:p>
      <w:pPr>
        <w:spacing w:line="278" w:lineRule="auto"/>
        <w:ind w:left="720"/>
      </w:pPr>
      <w:r>
        <w:tab/>
        <w:t>Email: rcbronk@uh.edu</w:t>
      </w:r>
    </w:p>
    <w:p>
      <w:pPr>
        <w:spacing w:line="278" w:lineRule="auto"/>
        <w:ind w:left="720"/>
      </w:pPr>
      <w:r>
        <w:tab/>
        <w:t xml:space="preserve">Responsibility within the Committee: Chair </w:t>
      </w:r>
    </w:p>
    <w:p>
      <w:pPr>
        <w:pStyle w:val="Heading9"/>
      </w:pPr>
      <w:r>
        <w:br w:type="page"/>
      </w:r>
      <w:bookmarkStart w:id="5" w:name="_Toc458876069"/>
      <w:r>
        <w:t>Appendix C</w:t>
      </w:r>
      <w:r>
        <w:br w:type="textWrapping" w:clear="all"/>
        <w:t>Intellectual Property Committee</w:t>
      </w:r>
      <w:bookmarkEnd w:id="5"/>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Intellectual Property Committee</w:t>
      </w:r>
      <w:r>
        <w:t xml:space="preserve"> </w:t>
      </w:r>
      <w:r>
        <w:br w:type="textWrapping" w:clear="all"/>
        <w:t xml:space="preserve">of the </w:t>
      </w:r>
      <w:r>
        <w:rPr>
          <w:caps/>
        </w:rPr>
        <w:t>ACM U.S. Public Policy Council</w:t>
      </w:r>
    </w:p>
    <w:p>
      <w:pPr>
        <w:spacing w:line="278" w:lineRule="auto"/>
        <w:jc w:val="center"/>
      </w:pPr>
      <w:r>
        <w:t>For the Period:  July 1, 2015 - June 30, 2016</w:t>
      </w:r>
    </w:p>
    <w:p>
      <w:pPr>
        <w:spacing w:line="278" w:lineRule="auto"/>
        <w:jc w:val="center"/>
      </w:pPr>
      <w:r>
        <w:t>Submitted by ___</w:t>
      </w:r>
      <w:r>
        <w:rPr>
          <w:u w:val="single"/>
        </w:rPr>
        <w:t>Paul Hyland, Chair</w:t>
      </w:r>
      <w:r>
        <w:t>_____</w:t>
      </w:r>
    </w:p>
    <w:p>
      <w:pPr>
        <w:pStyle w:val="Heading1"/>
        <w:numPr>
          <w:ilvl w:val="0"/>
          <w:numId w:val="28"/>
        </w:numPr>
      </w:pPr>
      <w:r>
        <w:t>BASIC INFORMATION</w:t>
      </w:r>
    </w:p>
    <w:p>
      <w:pPr>
        <w:pStyle w:val="Heading2"/>
      </w:pPr>
      <w:r>
        <w:t>Intellectual Property Committee Members</w:t>
      </w:r>
    </w:p>
    <w:p>
      <w:pPr>
        <w:tabs>
          <w:tab w:val="left" w:pos="432"/>
          <w:tab w:val="left" w:pos="720"/>
          <w:tab w:val="left" w:pos="1152"/>
          <w:tab w:val="left" w:pos="3744"/>
          <w:tab w:val="left" w:pos="6192"/>
        </w:tabs>
        <w:spacing w:line="278" w:lineRule="auto"/>
        <w:ind w:left="720"/>
      </w:pPr>
      <w:r>
        <w:t>Paul Hyland (Chair)</w:t>
      </w:r>
    </w:p>
    <w:p>
      <w:pPr>
        <w:tabs>
          <w:tab w:val="left" w:pos="432"/>
          <w:tab w:val="left" w:pos="720"/>
          <w:tab w:val="left" w:pos="1152"/>
          <w:tab w:val="left" w:pos="3744"/>
          <w:tab w:val="left" w:pos="6192"/>
        </w:tabs>
        <w:spacing w:line="278" w:lineRule="auto"/>
        <w:ind w:left="720"/>
      </w:pPr>
      <w:r>
        <w:t>Jeremy Barksdale</w:t>
      </w:r>
    </w:p>
    <w:p>
      <w:pPr>
        <w:tabs>
          <w:tab w:val="left" w:pos="432"/>
          <w:tab w:val="left" w:pos="720"/>
          <w:tab w:val="left" w:pos="1152"/>
          <w:tab w:val="left" w:pos="3744"/>
          <w:tab w:val="left" w:pos="6192"/>
        </w:tabs>
        <w:spacing w:line="278" w:lineRule="auto"/>
        <w:ind w:left="720"/>
      </w:pPr>
      <w:r>
        <w:t>Eric Burger</w:t>
      </w:r>
    </w:p>
    <w:p>
      <w:pPr>
        <w:tabs>
          <w:tab w:val="left" w:pos="432"/>
          <w:tab w:val="left" w:pos="720"/>
          <w:tab w:val="left" w:pos="1152"/>
          <w:tab w:val="left" w:pos="3744"/>
          <w:tab w:val="left" w:pos="6192"/>
        </w:tabs>
        <w:spacing w:line="278" w:lineRule="auto"/>
        <w:ind w:left="720"/>
      </w:pPr>
      <w:r>
        <w:t>Lillie Coney</w:t>
      </w:r>
    </w:p>
    <w:p>
      <w:pPr>
        <w:tabs>
          <w:tab w:val="left" w:pos="432"/>
          <w:tab w:val="left" w:pos="720"/>
          <w:tab w:val="left" w:pos="1152"/>
          <w:tab w:val="left" w:pos="3744"/>
          <w:tab w:val="left" w:pos="6192"/>
        </w:tabs>
        <w:spacing w:line="278" w:lineRule="auto"/>
        <w:ind w:left="720"/>
      </w:pPr>
      <w:r>
        <w:t>Cory Doctorow</w:t>
      </w:r>
    </w:p>
    <w:p>
      <w:pPr>
        <w:tabs>
          <w:tab w:val="left" w:pos="432"/>
          <w:tab w:val="left" w:pos="720"/>
          <w:tab w:val="left" w:pos="1152"/>
          <w:tab w:val="left" w:pos="3744"/>
          <w:tab w:val="left" w:pos="6192"/>
        </w:tabs>
        <w:spacing w:line="278" w:lineRule="auto"/>
        <w:ind w:left="720"/>
      </w:pPr>
      <w:r>
        <w:t>Dave Farber</w:t>
      </w:r>
    </w:p>
    <w:p>
      <w:pPr>
        <w:tabs>
          <w:tab w:val="left" w:pos="432"/>
          <w:tab w:val="left" w:pos="720"/>
          <w:tab w:val="left" w:pos="1152"/>
          <w:tab w:val="left" w:pos="3744"/>
          <w:tab w:val="left" w:pos="6192"/>
        </w:tabs>
        <w:spacing w:line="278" w:lineRule="auto"/>
        <w:ind w:left="720"/>
      </w:pPr>
      <w:r>
        <w:t>Stuart Feldman</w:t>
      </w:r>
    </w:p>
    <w:p>
      <w:pPr>
        <w:tabs>
          <w:tab w:val="left" w:pos="432"/>
          <w:tab w:val="left" w:pos="720"/>
          <w:tab w:val="left" w:pos="1152"/>
          <w:tab w:val="left" w:pos="3744"/>
          <w:tab w:val="left" w:pos="6192"/>
        </w:tabs>
        <w:spacing w:line="278" w:lineRule="auto"/>
        <w:ind w:left="720"/>
      </w:pPr>
      <w:r>
        <w:t>Miles Fidelman</w:t>
      </w:r>
    </w:p>
    <w:p>
      <w:pPr>
        <w:tabs>
          <w:tab w:val="left" w:pos="432"/>
          <w:tab w:val="left" w:pos="720"/>
          <w:tab w:val="left" w:pos="1152"/>
          <w:tab w:val="left" w:pos="3744"/>
          <w:tab w:val="left" w:pos="6192"/>
        </w:tabs>
        <w:spacing w:line="278" w:lineRule="auto"/>
        <w:ind w:left="720"/>
      </w:pPr>
      <w:r>
        <w:t>Thomas Gideon</w:t>
      </w:r>
    </w:p>
    <w:p>
      <w:pPr>
        <w:tabs>
          <w:tab w:val="left" w:pos="432"/>
          <w:tab w:val="left" w:pos="720"/>
          <w:tab w:val="left" w:pos="1152"/>
          <w:tab w:val="left" w:pos="3744"/>
          <w:tab w:val="left" w:pos="6192"/>
        </w:tabs>
        <w:spacing w:line="278" w:lineRule="auto"/>
        <w:ind w:left="720"/>
      </w:pPr>
      <w:r>
        <w:t>Barbara Helfer</w:t>
      </w:r>
    </w:p>
    <w:p>
      <w:pPr>
        <w:tabs>
          <w:tab w:val="left" w:pos="432"/>
          <w:tab w:val="left" w:pos="720"/>
          <w:tab w:val="left" w:pos="1152"/>
          <w:tab w:val="left" w:pos="3744"/>
          <w:tab w:val="left" w:pos="6192"/>
        </w:tabs>
        <w:spacing w:line="278" w:lineRule="auto"/>
        <w:ind w:left="720"/>
      </w:pPr>
      <w:r>
        <w:t>Lee Hollaar</w:t>
      </w:r>
    </w:p>
    <w:p>
      <w:pPr>
        <w:tabs>
          <w:tab w:val="left" w:pos="432"/>
          <w:tab w:val="left" w:pos="720"/>
          <w:tab w:val="left" w:pos="1152"/>
          <w:tab w:val="left" w:pos="3744"/>
          <w:tab w:val="left" w:pos="6192"/>
        </w:tabs>
        <w:spacing w:line="278" w:lineRule="auto"/>
        <w:ind w:left="720"/>
      </w:pPr>
      <w:r>
        <w:t>Chuck House</w:t>
      </w:r>
    </w:p>
    <w:p>
      <w:pPr>
        <w:tabs>
          <w:tab w:val="left" w:pos="432"/>
          <w:tab w:val="left" w:pos="720"/>
          <w:tab w:val="left" w:pos="1152"/>
          <w:tab w:val="left" w:pos="3744"/>
          <w:tab w:val="left" w:pos="6192"/>
        </w:tabs>
        <w:spacing w:line="278" w:lineRule="auto"/>
        <w:ind w:left="720"/>
      </w:pPr>
      <w:r>
        <w:t>Paul Jacobs</w:t>
      </w:r>
    </w:p>
    <w:p>
      <w:pPr>
        <w:tabs>
          <w:tab w:val="left" w:pos="432"/>
          <w:tab w:val="left" w:pos="720"/>
          <w:tab w:val="left" w:pos="1152"/>
          <w:tab w:val="left" w:pos="3744"/>
          <w:tab w:val="left" w:pos="6192"/>
        </w:tabs>
        <w:spacing w:line="278" w:lineRule="auto"/>
        <w:ind w:left="720"/>
      </w:pPr>
      <w:r>
        <w:t>Douglas Jones</w:t>
      </w:r>
    </w:p>
    <w:p>
      <w:pPr>
        <w:tabs>
          <w:tab w:val="left" w:pos="432"/>
          <w:tab w:val="left" w:pos="720"/>
          <w:tab w:val="left" w:pos="1152"/>
          <w:tab w:val="left" w:pos="3744"/>
          <w:tab w:val="left" w:pos="6192"/>
        </w:tabs>
        <w:spacing w:line="278" w:lineRule="auto"/>
        <w:ind w:left="720"/>
      </w:pPr>
      <w:proofErr w:type="spellStart"/>
      <w:r>
        <w:t>Cem</w:t>
      </w:r>
      <w:proofErr w:type="spellEnd"/>
      <w:r>
        <w:t xml:space="preserve"> </w:t>
      </w:r>
      <w:proofErr w:type="spellStart"/>
      <w:r>
        <w:t>Kaner</w:t>
      </w:r>
      <w:proofErr w:type="spellEnd"/>
    </w:p>
    <w:p>
      <w:pPr>
        <w:tabs>
          <w:tab w:val="left" w:pos="432"/>
          <w:tab w:val="left" w:pos="720"/>
          <w:tab w:val="left" w:pos="1152"/>
          <w:tab w:val="left" w:pos="3744"/>
          <w:tab w:val="left" w:pos="6192"/>
        </w:tabs>
        <w:spacing w:line="278" w:lineRule="auto"/>
        <w:ind w:left="720"/>
      </w:pPr>
      <w:r>
        <w:t>Andy Oram</w:t>
      </w:r>
    </w:p>
    <w:p>
      <w:pPr>
        <w:tabs>
          <w:tab w:val="left" w:pos="432"/>
          <w:tab w:val="left" w:pos="720"/>
          <w:tab w:val="left" w:pos="1152"/>
          <w:tab w:val="left" w:pos="3744"/>
          <w:tab w:val="left" w:pos="6192"/>
        </w:tabs>
        <w:spacing w:line="278" w:lineRule="auto"/>
        <w:ind w:left="720"/>
      </w:pPr>
      <w:r>
        <w:t>Garry Paxinos</w:t>
      </w:r>
    </w:p>
    <w:p>
      <w:pPr>
        <w:tabs>
          <w:tab w:val="left" w:pos="432"/>
          <w:tab w:val="left" w:pos="720"/>
          <w:tab w:val="left" w:pos="1152"/>
          <w:tab w:val="left" w:pos="3744"/>
          <w:tab w:val="left" w:pos="6192"/>
        </w:tabs>
        <w:spacing w:line="278" w:lineRule="auto"/>
        <w:ind w:left="720"/>
      </w:pPr>
      <w:r>
        <w:t>David Robinson</w:t>
      </w:r>
    </w:p>
    <w:p>
      <w:pPr>
        <w:tabs>
          <w:tab w:val="left" w:pos="432"/>
          <w:tab w:val="left" w:pos="720"/>
          <w:tab w:val="left" w:pos="1152"/>
          <w:tab w:val="left" w:pos="3744"/>
          <w:tab w:val="left" w:pos="6192"/>
        </w:tabs>
        <w:spacing w:line="278" w:lineRule="auto"/>
        <w:ind w:left="720"/>
      </w:pPr>
      <w:r>
        <w:t>Pam Samuelson</w:t>
      </w:r>
    </w:p>
    <w:p>
      <w:pPr>
        <w:tabs>
          <w:tab w:val="left" w:pos="432"/>
          <w:tab w:val="left" w:pos="720"/>
          <w:tab w:val="left" w:pos="1152"/>
          <w:tab w:val="left" w:pos="3744"/>
          <w:tab w:val="left" w:pos="6192"/>
        </w:tabs>
        <w:spacing w:line="278" w:lineRule="auto"/>
        <w:ind w:left="720"/>
      </w:pPr>
      <w:proofErr w:type="spellStart"/>
      <w:r>
        <w:t>Bhavani</w:t>
      </w:r>
      <w:proofErr w:type="spellEnd"/>
      <w:r>
        <w:t xml:space="preserve"> Thuraisingham</w:t>
      </w:r>
    </w:p>
    <w:p>
      <w:pPr>
        <w:tabs>
          <w:tab w:val="left" w:pos="432"/>
          <w:tab w:val="left" w:pos="720"/>
          <w:tab w:val="left" w:pos="1152"/>
          <w:tab w:val="left" w:pos="3744"/>
          <w:tab w:val="left" w:pos="6192"/>
        </w:tabs>
        <w:spacing w:line="278" w:lineRule="auto"/>
        <w:ind w:left="720"/>
        <w:rPr>
          <w:i/>
        </w:rPr>
      </w:pPr>
      <w:r>
        <w:t>David Wise</w:t>
      </w:r>
      <w:r>
        <w:rPr>
          <w:i/>
        </w:rPr>
        <w:t xml:space="preserve"> </w:t>
      </w:r>
    </w:p>
    <w:p>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pPr>
        <w:pStyle w:val="Heading2"/>
      </w:pPr>
      <w:r>
        <w:t>Purpose of the Intellectual Property Committee</w:t>
      </w:r>
    </w:p>
    <w:p>
      <w:pPr>
        <w:ind w:left="720"/>
      </w:pPr>
      <w:r>
        <w:t>​The Intellectual Property Committee works to ensure that public policies related to patents and copyright promote innovation and balance the legitimate interests of inventors and creators with those of consumers and the public.</w:t>
      </w:r>
    </w:p>
    <w:p>
      <w:pPr>
        <w:pStyle w:val="Heading2"/>
      </w:pPr>
      <w:r>
        <w:t>Intellectual Property Committee Meetings</w:t>
      </w:r>
    </w:p>
    <w:p>
      <w:pPr>
        <w:tabs>
          <w:tab w:val="left" w:pos="432"/>
          <w:tab w:val="left" w:pos="720"/>
          <w:tab w:val="left" w:pos="1152"/>
          <w:tab w:val="left" w:pos="3744"/>
          <w:tab w:val="left" w:pos="6192"/>
        </w:tabs>
        <w:spacing w:line="278" w:lineRule="auto"/>
        <w:ind w:left="720"/>
      </w:pPr>
      <w:r>
        <w:t xml:space="preserve">Committee business is conducted by listserv discussions. </w:t>
      </w:r>
    </w:p>
    <w:p>
      <w:pPr>
        <w:pStyle w:val="Heading1"/>
      </w:pPr>
      <w:r>
        <w:t>PROJECT SUMMARY</w:t>
      </w:r>
    </w:p>
    <w:p>
      <w:pPr>
        <w:ind w:left="720"/>
        <w:rPr>
          <w:b/>
        </w:rPr>
      </w:pPr>
      <w:r>
        <w:rPr>
          <w:b/>
        </w:rPr>
        <w:t>Comments to the U.S. Copyright Office on the Digital Millennium Copyright Act (DMCA) Section 1201 Policy Study</w:t>
      </w:r>
    </w:p>
    <w:p>
      <w:pPr>
        <w:ind w:left="720"/>
      </w:pPr>
      <w:r>
        <w:t xml:space="preserve">USACM submitted comments to the U.S. Copyright Office on the effectiveness and proposals for improvement of copyright protections and enforcement under the Digital Millennium Copyright Act (DMCA). USACM's comments addressed the prohibitions against circumvention of technical protection measures to access copyrighted materials under DMCA, as well as existing permanent and temporary exemptions to these prohibitions. USACM has participated in triennial rulemaking processes for temporary exemptions under the DMCA. USACM also has commented upon its effectiveness in the past, and organized a working group, led by USACM's Intellectual Property Committee, to draft comments that built upon our previous positions, and in some cases expanded upon and elaborated them. The Committee has collaborated with other USACM committees, such as law, accessibility, security, and privacy in addressing these policy issues. </w:t>
      </w:r>
    </w:p>
    <w:p>
      <w:pPr>
        <w:pStyle w:val="Heading1"/>
      </w:pPr>
      <w:r>
        <w:t>Plans</w:t>
      </w:r>
    </w:p>
    <w:p>
      <w:pPr>
        <w:pStyle w:val="Heading2"/>
      </w:pPr>
      <w:r>
        <w:t>Proposed Projects</w:t>
      </w:r>
    </w:p>
    <w:p>
      <w:pPr>
        <w:ind w:left="720"/>
        <w:rPr>
          <w:b/>
          <w:color w:val="000000"/>
        </w:rPr>
      </w:pPr>
      <w:r>
        <w:rPr>
          <w:b/>
          <w:color w:val="000000"/>
        </w:rPr>
        <w:t xml:space="preserve">U.S. Copyright Office: Policy Studies </w:t>
      </w:r>
    </w:p>
    <w:p>
      <w:pPr>
        <w:spacing w:after="240"/>
        <w:ind w:left="720"/>
        <w:rPr>
          <w:color w:val="000000"/>
        </w:rPr>
      </w:pPr>
      <w:r>
        <w:t xml:space="preserve">The committee will continue to engage in and comment on the active policy studies by the U.S. Copyright Office related to </w:t>
      </w:r>
      <w:r>
        <w:rPr>
          <w:color w:val="000000"/>
        </w:rPr>
        <w:t>possible regulatory and legislative reforms to improve copyright protections, exemptions, and enforcement, as well as ways to improve the effectiveness of the U.S. Copyright Office. Topics include software-enabled consumer products safety, circumvention exceptions for privacy security research, accessibility for people with disabilities, the safe harbor provisions and online copyright infringement, and information technology modernization within the U.S. Copyright Office.</w:t>
      </w:r>
    </w:p>
    <w:p>
      <w:pPr>
        <w:ind w:left="720"/>
        <w:rPr>
          <w:b/>
        </w:rPr>
      </w:pPr>
      <w:r>
        <w:rPr>
          <w:b/>
        </w:rPr>
        <w:t xml:space="preserve">USPTO Software Patent Quality </w:t>
      </w:r>
    </w:p>
    <w:p>
      <w:pPr>
        <w:ind w:left="720"/>
      </w:pPr>
      <w:r>
        <w:t>The committee will continue to monitor and engage the multistakeholder and outreach activities by the U.S. Patent and Trademark Office to improve patent quality. Its Enhanced Patent Quality Initiative brings together stakeholders through a series of in-person events, webinars, and online chats to discuss initiatives and progress on improving the quality of software-related patents. The USPTO uses stakeholder input to identify new topics for case studies, make improvements to existing programs, and develop and implement new processes.</w:t>
      </w:r>
    </w:p>
    <w:p>
      <w:pPr>
        <w:ind w:left="720"/>
      </w:pPr>
    </w:p>
    <w:p>
      <w:pPr>
        <w:ind w:left="720"/>
        <w:rPr>
          <w:b/>
          <w:color w:val="000000" w:themeColor="text1"/>
        </w:rPr>
      </w:pPr>
      <w:r>
        <w:rPr>
          <w:b/>
          <w:color w:val="000000" w:themeColor="text1"/>
        </w:rPr>
        <w:t xml:space="preserve">U.S. Department of Commerce Internet Policy Task Force Multistakeholder Forums </w:t>
      </w:r>
    </w:p>
    <w:p>
      <w:pPr>
        <w:ind w:left="720"/>
        <w:rPr>
          <w:color w:val="000000" w:themeColor="text1"/>
        </w:rPr>
      </w:pPr>
      <w:r>
        <w:rPr>
          <w:color w:val="000000" w:themeColor="text1"/>
        </w:rPr>
        <w:t xml:space="preserve">The committee will continue to monitor and engage in multistakeholder forums convened to identify and develop voluntary approaches to improve the implementation of copyright law in digital environments. </w:t>
      </w:r>
    </w:p>
    <w:p>
      <w:pPr>
        <w:ind w:left="720"/>
      </w:pPr>
    </w:p>
    <w:p>
      <w:pPr>
        <w:ind w:left="720"/>
        <w:rPr>
          <w:b/>
        </w:rPr>
      </w:pPr>
      <w:r>
        <w:rPr>
          <w:b/>
        </w:rPr>
        <w:t xml:space="preserve">US-EU Trade Agreement Stakeholder Forums </w:t>
      </w:r>
    </w:p>
    <w:p>
      <w:pPr>
        <w:ind w:left="720"/>
      </w:pPr>
      <w:r>
        <w:t>The committee will continue to monitor and engage in the negotiations of the proposed free trade agreement between the United States and the European Union. The negotiators jointly hold public forums to receive stakeholder input on specific issues relevant to the proposed Transatlantic Trade and Investment Partnership (TTIP). USACM has collaborated with the ACM Europe Policy Committee on joint statements to the negotiators on guiding principles for consideration when drafting trade treaties.</w:t>
      </w:r>
    </w:p>
    <w:p>
      <w:pPr>
        <w:jc w:val="center"/>
        <w:rPr>
          <w:b/>
        </w:rPr>
      </w:pPr>
    </w:p>
    <w:p>
      <w:pPr>
        <w:jc w:val="center"/>
        <w:rPr>
          <w:b/>
        </w:rPr>
      </w:pPr>
      <w:r>
        <w:rPr>
          <w:b/>
        </w:rPr>
        <w:t>INTELLECTUAL PROPERTY COMMITTEE APPENDIX</w:t>
      </w:r>
    </w:p>
    <w:p>
      <w:pPr>
        <w:spacing w:line="278" w:lineRule="auto"/>
      </w:pPr>
    </w:p>
    <w:p>
      <w:pPr>
        <w:spacing w:line="278" w:lineRule="auto"/>
        <w:ind w:left="720"/>
      </w:pPr>
      <w:r>
        <w:t xml:space="preserve">Address list of all committee members and other persons responsible for projects. </w:t>
      </w:r>
    </w:p>
    <w:p>
      <w:pPr>
        <w:tabs>
          <w:tab w:val="left" w:pos="1440"/>
        </w:tabs>
      </w:pPr>
    </w:p>
    <w:p>
      <w:pPr>
        <w:tabs>
          <w:tab w:val="left" w:pos="1440"/>
        </w:tabs>
      </w:pPr>
      <w:r>
        <w:t xml:space="preserve">                        Name:  Paul Hyland                                                                                    </w:t>
      </w:r>
    </w:p>
    <w:p>
      <w:r>
        <w:t>                        Address:  9508 Ocala St., Silver Spring, MD 20901</w:t>
      </w:r>
    </w:p>
    <w:p>
      <w:r>
        <w:t>                        Phone:  202-441-4142</w:t>
      </w:r>
    </w:p>
    <w:p>
      <w:r>
        <w:t>                        Email:  </w:t>
      </w:r>
      <w:r>
        <w:rPr>
          <w:color w:val="000000" w:themeColor="text1"/>
        </w:rPr>
        <w:t>paul@paulhyland.com</w:t>
      </w:r>
    </w:p>
    <w:p>
      <w:r>
        <w:t>                        Responsibility within the Committee: Chair</w:t>
      </w:r>
    </w:p>
    <w:p>
      <w:pPr>
        <w:pStyle w:val="Heading9"/>
      </w:pPr>
      <w:r>
        <w:br w:type="page"/>
      </w:r>
      <w:bookmarkStart w:id="6" w:name="_Toc458876070"/>
      <w:r>
        <w:t>Appendix D</w:t>
      </w:r>
      <w:r>
        <w:br w:type="textWrapping" w:clear="all"/>
        <w:t>Law Committee</w:t>
      </w:r>
      <w:bookmarkEnd w:id="6"/>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Law Committee</w:t>
      </w:r>
      <w:r>
        <w:t xml:space="preserve"> </w:t>
      </w:r>
      <w:r>
        <w:br w:type="textWrapping" w:clear="all"/>
        <w:t xml:space="preserve">of the </w:t>
      </w:r>
      <w:r>
        <w:rPr>
          <w:caps/>
        </w:rPr>
        <w:t>ACM U.S. Public Policy Council</w:t>
      </w:r>
    </w:p>
    <w:p>
      <w:pPr>
        <w:spacing w:line="278" w:lineRule="auto"/>
        <w:jc w:val="center"/>
      </w:pPr>
      <w:r>
        <w:t>For the Period:  July 1, 2015 - June 30, 2016</w:t>
      </w:r>
    </w:p>
    <w:p>
      <w:pPr>
        <w:spacing w:line="278" w:lineRule="auto"/>
        <w:jc w:val="center"/>
      </w:pPr>
      <w:r>
        <w:t>Submitted by ___</w:t>
      </w:r>
      <w:r>
        <w:rPr>
          <w:u w:val="single"/>
        </w:rPr>
        <w:t>Andrew Grosso, Chair</w:t>
      </w:r>
      <w:r>
        <w:t>_____</w:t>
      </w:r>
    </w:p>
    <w:p>
      <w:pPr>
        <w:pStyle w:val="Heading1"/>
        <w:numPr>
          <w:ilvl w:val="0"/>
          <w:numId w:val="31"/>
        </w:numPr>
      </w:pPr>
      <w:r>
        <w:t>BASIC INFORMATION</w:t>
      </w:r>
    </w:p>
    <w:p>
      <w:pPr>
        <w:pStyle w:val="Heading2"/>
      </w:pPr>
      <w:r>
        <w:t>Law Committee Members</w:t>
      </w:r>
    </w:p>
    <w:p>
      <w:pPr>
        <w:ind w:left="720"/>
      </w:pPr>
      <w:r>
        <w:t>Andrew Grosso (Chair)</w:t>
      </w:r>
    </w:p>
    <w:p>
      <w:pPr>
        <w:ind w:left="720"/>
      </w:pPr>
      <w:r>
        <w:t>Jason Baker</w:t>
      </w:r>
    </w:p>
    <w:p>
      <w:pPr>
        <w:ind w:left="720"/>
      </w:pPr>
      <w:r>
        <w:t>Jeremy Barksdale</w:t>
      </w:r>
    </w:p>
    <w:p>
      <w:pPr>
        <w:ind w:left="720"/>
      </w:pPr>
      <w:r>
        <w:t>Steve Bellovin</w:t>
      </w:r>
    </w:p>
    <w:p>
      <w:pPr>
        <w:ind w:left="720"/>
      </w:pPr>
      <w:r>
        <w:t>Lillie Coney</w:t>
      </w:r>
    </w:p>
    <w:p>
      <w:pPr>
        <w:ind w:left="720"/>
      </w:pPr>
      <w:r>
        <w:t xml:space="preserve">William </w:t>
      </w:r>
      <w:proofErr w:type="spellStart"/>
      <w:r>
        <w:t>Doane</w:t>
      </w:r>
      <w:proofErr w:type="spellEnd"/>
    </w:p>
    <w:p>
      <w:pPr>
        <w:ind w:left="720"/>
      </w:pPr>
      <w:r>
        <w:t>Cory Doctorow</w:t>
      </w:r>
    </w:p>
    <w:p>
      <w:pPr>
        <w:ind w:left="720"/>
      </w:pPr>
      <w:r>
        <w:t>Dave Farber</w:t>
      </w:r>
    </w:p>
    <w:p>
      <w:pPr>
        <w:ind w:left="720"/>
      </w:pPr>
      <w:r>
        <w:t>Stuart Feldman</w:t>
      </w:r>
    </w:p>
    <w:p>
      <w:pPr>
        <w:ind w:left="720"/>
      </w:pPr>
      <w:r>
        <w:t>Miles Fidelman</w:t>
      </w:r>
    </w:p>
    <w:p>
      <w:pPr>
        <w:ind w:left="720"/>
      </w:pPr>
      <w:r>
        <w:t>Thomas Gideon</w:t>
      </w:r>
    </w:p>
    <w:p>
      <w:pPr>
        <w:ind w:left="720"/>
      </w:pPr>
      <w:r>
        <w:t xml:space="preserve">James </w:t>
      </w:r>
      <w:proofErr w:type="spellStart"/>
      <w:r>
        <w:t>Grimmelmann</w:t>
      </w:r>
      <w:proofErr w:type="spellEnd"/>
    </w:p>
    <w:p>
      <w:pPr>
        <w:ind w:left="720"/>
      </w:pPr>
      <w:r>
        <w:t>Lance Hoffman</w:t>
      </w:r>
    </w:p>
    <w:p>
      <w:pPr>
        <w:ind w:left="720"/>
      </w:pPr>
      <w:r>
        <w:t>Lee Hollaar</w:t>
      </w:r>
    </w:p>
    <w:p>
      <w:pPr>
        <w:ind w:left="720"/>
      </w:pPr>
      <w:r>
        <w:t>Ron Jarvis</w:t>
      </w:r>
    </w:p>
    <w:p>
      <w:pPr>
        <w:ind w:left="720"/>
      </w:pPr>
      <w:r>
        <w:t>Douglas Jones</w:t>
      </w:r>
    </w:p>
    <w:p>
      <w:pPr>
        <w:ind w:left="720"/>
      </w:pPr>
      <w:r>
        <w:t xml:space="preserve">Meg </w:t>
      </w:r>
      <w:proofErr w:type="spellStart"/>
      <w:r>
        <w:t>Leta</w:t>
      </w:r>
      <w:proofErr w:type="spellEnd"/>
      <w:r>
        <w:t xml:space="preserve"> Jones</w:t>
      </w:r>
    </w:p>
    <w:p>
      <w:pPr>
        <w:ind w:left="720"/>
      </w:pPr>
      <w:proofErr w:type="spellStart"/>
      <w:r>
        <w:t>Cem</w:t>
      </w:r>
      <w:proofErr w:type="spellEnd"/>
      <w:r>
        <w:t xml:space="preserve"> </w:t>
      </w:r>
      <w:proofErr w:type="spellStart"/>
      <w:r>
        <w:t>Kaner</w:t>
      </w:r>
      <w:proofErr w:type="spellEnd"/>
    </w:p>
    <w:p>
      <w:pPr>
        <w:ind w:left="720"/>
      </w:pPr>
      <w:r>
        <w:t xml:space="preserve">Vince </w:t>
      </w:r>
      <w:proofErr w:type="spellStart"/>
      <w:r>
        <w:t>Lipsio</w:t>
      </w:r>
      <w:proofErr w:type="spellEnd"/>
    </w:p>
    <w:p>
      <w:pPr>
        <w:ind w:left="720"/>
      </w:pPr>
      <w:r>
        <w:t>Aaron Massey</w:t>
      </w:r>
    </w:p>
    <w:p>
      <w:pPr>
        <w:ind w:left="720"/>
      </w:pPr>
      <w:r>
        <w:t>James Moody</w:t>
      </w:r>
    </w:p>
    <w:p>
      <w:pPr>
        <w:ind w:left="720"/>
      </w:pPr>
      <w:r>
        <w:t>Andy Oram</w:t>
      </w:r>
    </w:p>
    <w:p>
      <w:pPr>
        <w:ind w:left="720"/>
      </w:pPr>
      <w:r>
        <w:t>Paul Otto</w:t>
      </w:r>
    </w:p>
    <w:p>
      <w:pPr>
        <w:ind w:left="720"/>
      </w:pPr>
      <w:r>
        <w:t>Garry Paxinos</w:t>
      </w:r>
    </w:p>
    <w:p>
      <w:pPr>
        <w:ind w:left="720"/>
      </w:pPr>
      <w:r>
        <w:t>Erika Poole</w:t>
      </w:r>
    </w:p>
    <w:p>
      <w:pPr>
        <w:ind w:left="720"/>
      </w:pPr>
      <w:r>
        <w:t>Mark Rasch</w:t>
      </w:r>
    </w:p>
    <w:p>
      <w:pPr>
        <w:ind w:left="720"/>
      </w:pPr>
      <w:r>
        <w:t>Chris Roberts</w:t>
      </w:r>
    </w:p>
    <w:p>
      <w:pPr>
        <w:ind w:left="720"/>
      </w:pPr>
      <w:r>
        <w:t>David Robinson</w:t>
      </w:r>
    </w:p>
    <w:p>
      <w:pPr>
        <w:ind w:left="720"/>
      </w:pPr>
      <w:r>
        <w:t xml:space="preserve">Anthony </w:t>
      </w:r>
      <w:proofErr w:type="spellStart"/>
      <w:r>
        <w:t>Ruocco</w:t>
      </w:r>
      <w:proofErr w:type="spellEnd"/>
    </w:p>
    <w:p>
      <w:pPr>
        <w:ind w:left="720"/>
      </w:pPr>
      <w:r>
        <w:t>Pam Samuelson</w:t>
      </w:r>
    </w:p>
    <w:p>
      <w:pPr>
        <w:ind w:left="720"/>
      </w:pPr>
      <w:r>
        <w:t>Ari Schlesinger</w:t>
      </w:r>
    </w:p>
    <w:p>
      <w:pPr>
        <w:ind w:left="720"/>
      </w:pPr>
      <w:r>
        <w:t>Ollie Smoot</w:t>
      </w:r>
    </w:p>
    <w:p>
      <w:pPr>
        <w:ind w:left="720"/>
      </w:pPr>
      <w:r>
        <w:t>David Wise</w:t>
      </w:r>
    </w:p>
    <w:p>
      <w:pPr>
        <w:ind w:left="720"/>
      </w:pPr>
      <w:r>
        <w:t>Jessica Young</w:t>
      </w:r>
    </w:p>
    <w:p>
      <w:pPr>
        <w:ind w:left="720"/>
        <w:rPr>
          <w:i/>
        </w:rPr>
      </w:pPr>
      <w:proofErr w:type="gramStart"/>
      <w:r>
        <w:rPr>
          <w:i/>
        </w:rPr>
        <w:t>plus</w:t>
      </w:r>
      <w:proofErr w:type="gramEnd"/>
      <w:r>
        <w:rPr>
          <w:i/>
        </w:rPr>
        <w:t xml:space="preserve"> all members of USACM Council</w:t>
      </w:r>
    </w:p>
    <w:p>
      <w:pPr>
        <w:pStyle w:val="Heading2"/>
      </w:pPr>
      <w:r>
        <w:t>Purpose of the Law Committee</w:t>
      </w:r>
    </w:p>
    <w:p>
      <w:pPr>
        <w:ind w:left="720"/>
      </w:pPr>
      <w:r>
        <w:t>The committee works within the broader USACM framework. The committee is dedicated to monitoring the federal legal landscape that affects computing policy issues and ensuring that such laws provide an environment conducive to innovation.</w:t>
      </w:r>
    </w:p>
    <w:p>
      <w:pPr>
        <w:pStyle w:val="Heading2"/>
      </w:pPr>
      <w:r>
        <w:t>Law Committee Meetings</w:t>
      </w:r>
    </w:p>
    <w:p>
      <w:pPr>
        <w:tabs>
          <w:tab w:val="left" w:pos="432"/>
          <w:tab w:val="left" w:pos="720"/>
          <w:tab w:val="left" w:pos="1152"/>
          <w:tab w:val="left" w:pos="3744"/>
          <w:tab w:val="left" w:pos="6192"/>
        </w:tabs>
        <w:spacing w:line="278" w:lineRule="auto"/>
        <w:ind w:left="720"/>
      </w:pPr>
      <w:r>
        <w:t>Committee business is conducted by listserv discussions.</w:t>
      </w:r>
    </w:p>
    <w:p>
      <w:pPr>
        <w:pStyle w:val="Heading1"/>
      </w:pPr>
      <w:r>
        <w:t>PROJECT SUMMARY</w:t>
      </w:r>
    </w:p>
    <w:p>
      <w:pPr>
        <w:ind w:left="720"/>
        <w:rPr>
          <w:b/>
        </w:rPr>
      </w:pPr>
      <w:r>
        <w:rPr>
          <w:b/>
        </w:rPr>
        <w:t>Comments to the U.S. Copyright Office on the Digital Millennium Copyright Act (DMCA) Section 1201 Policy Study</w:t>
      </w:r>
    </w:p>
    <w:p>
      <w:pPr>
        <w:ind w:left="720"/>
      </w:pPr>
      <w:r>
        <w:t xml:space="preserve">The committee collaborated with other USACM committees on comments to the U.S. Copyright Office for its study on the effectiveness of the Digital Millennium Copyright Act (DMCA) and the permanent and temporary exemptions allowing lawful circumvention of technological measures of copyrighted works. </w:t>
      </w:r>
      <w:r>
        <w:rPr>
          <w:rStyle w:val="st"/>
        </w:rPr>
        <w:t xml:space="preserve">USACM's comments were informed by experts in </w:t>
      </w:r>
      <w:r>
        <w:t>intellectual property, privacy, security, accessibility, and law. USACM recommended short-term and permanent exemptions to support and expand beneficial computing security research, particularly relevant to reverse engineering, encryption research, computer privacy research, security research, accessibility, and educational activities. The U.S. Copyright Office will use the public input to inform its forthcoming report to Congress and its recommendations on possible legislative, regulatory, and policy reforms.</w:t>
      </w:r>
    </w:p>
    <w:p>
      <w:pPr>
        <w:pStyle w:val="Heading1"/>
      </w:pPr>
      <w:r>
        <w:t>Plans</w:t>
      </w:r>
    </w:p>
    <w:p>
      <w:pPr>
        <w:ind w:left="720"/>
      </w:pPr>
      <w:r>
        <w:t>The Law Committee will continue its efforts to work collaboratively with and support the work of USACM's committees and working groups.</w:t>
      </w:r>
    </w:p>
    <w:p/>
    <w:p>
      <w:pPr>
        <w:jc w:val="center"/>
        <w:rPr>
          <w:b/>
        </w:rPr>
      </w:pPr>
      <w:r>
        <w:rPr>
          <w:b/>
        </w:rPr>
        <w:t>LAW COMMITTEE APPENDIX</w:t>
      </w:r>
    </w:p>
    <w:p>
      <w:pPr>
        <w:spacing w:line="278" w:lineRule="auto"/>
      </w:pPr>
    </w:p>
    <w:p>
      <w:pPr>
        <w:spacing w:line="278" w:lineRule="auto"/>
        <w:ind w:left="720"/>
      </w:pPr>
      <w:r>
        <w:t xml:space="preserve">Address list of all committee members and other persons responsible for projects. </w:t>
      </w:r>
    </w:p>
    <w:p>
      <w:pPr>
        <w:spacing w:line="276" w:lineRule="auto"/>
      </w:pPr>
    </w:p>
    <w:p>
      <w:pPr>
        <w:tabs>
          <w:tab w:val="left" w:pos="1440"/>
          <w:tab w:val="left" w:pos="2520"/>
        </w:tabs>
        <w:spacing w:line="276" w:lineRule="auto"/>
      </w:pPr>
      <w:r>
        <w:tab/>
        <w:t>Name:</w:t>
      </w:r>
      <w:r>
        <w:tab/>
        <w:t>Andrew Grosso</w:t>
      </w:r>
      <w:r>
        <w:tab/>
      </w:r>
      <w:r>
        <w:tab/>
      </w:r>
      <w:r>
        <w:tab/>
      </w:r>
      <w:r>
        <w:tab/>
      </w:r>
      <w:r>
        <w:tab/>
      </w:r>
    </w:p>
    <w:p>
      <w:pPr>
        <w:tabs>
          <w:tab w:val="left" w:pos="1440"/>
          <w:tab w:val="left" w:pos="2520"/>
        </w:tabs>
        <w:spacing w:line="276" w:lineRule="auto"/>
      </w:pPr>
      <w:r>
        <w:tab/>
        <w:t>Address:</w:t>
      </w:r>
      <w:r>
        <w:tab/>
        <w:t>1101 Thirtieth Street, NW, Suite 300</w:t>
      </w:r>
    </w:p>
    <w:p>
      <w:pPr>
        <w:tabs>
          <w:tab w:val="left" w:pos="1440"/>
          <w:tab w:val="left" w:pos="2520"/>
        </w:tabs>
        <w:spacing w:line="276" w:lineRule="auto"/>
      </w:pPr>
      <w:r>
        <w:tab/>
        <w:t>Phone:</w:t>
      </w:r>
      <w:r>
        <w:tab/>
        <w:t>(202) 277-2865</w:t>
      </w:r>
    </w:p>
    <w:p>
      <w:pPr>
        <w:tabs>
          <w:tab w:val="left" w:pos="1440"/>
          <w:tab w:val="left" w:pos="2520"/>
        </w:tabs>
        <w:spacing w:line="276" w:lineRule="auto"/>
      </w:pPr>
      <w:r>
        <w:tab/>
        <w:t>Email:</w:t>
      </w:r>
      <w:r>
        <w:tab/>
        <w:t xml:space="preserve">agrosso@acm.org </w:t>
      </w:r>
    </w:p>
    <w:p>
      <w:pPr>
        <w:tabs>
          <w:tab w:val="left" w:pos="1440"/>
          <w:tab w:val="left" w:pos="2520"/>
        </w:tabs>
        <w:spacing w:line="276" w:lineRule="auto"/>
      </w:pPr>
      <w:r>
        <w:tab/>
        <w:t>Responsibility within the Committee: Chair, Law Committee</w:t>
      </w:r>
    </w:p>
    <w:p>
      <w:pPr>
        <w:tabs>
          <w:tab w:val="left" w:pos="1440"/>
          <w:tab w:val="left" w:pos="2520"/>
        </w:tabs>
        <w:spacing w:line="276" w:lineRule="auto"/>
      </w:pPr>
    </w:p>
    <w:p>
      <w:pPr>
        <w:tabs>
          <w:tab w:val="left" w:pos="1440"/>
          <w:tab w:val="left" w:pos="2520"/>
        </w:tabs>
        <w:spacing w:line="276" w:lineRule="auto"/>
      </w:pPr>
    </w:p>
    <w:p>
      <w:pPr>
        <w:pStyle w:val="Heading9"/>
      </w:pPr>
      <w:r>
        <w:t xml:space="preserve"> </w:t>
      </w:r>
      <w:r>
        <w:br w:type="page"/>
      </w:r>
    </w:p>
    <w:p>
      <w:pPr>
        <w:pStyle w:val="Heading9"/>
      </w:pPr>
      <w:bookmarkStart w:id="7" w:name="_Toc458876071"/>
      <w:r>
        <w:t>Appendix E</w:t>
      </w:r>
      <w:r>
        <w:br w:type="textWrapping" w:clear="all"/>
        <w:t>Privacy Committee</w:t>
      </w:r>
      <w:bookmarkEnd w:id="7"/>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PRIVACY Committee</w:t>
      </w:r>
      <w:r>
        <w:t xml:space="preserve"> </w:t>
      </w:r>
      <w:r>
        <w:br w:type="textWrapping" w:clear="all"/>
        <w:t xml:space="preserve">of the </w:t>
      </w:r>
      <w:r>
        <w:rPr>
          <w:caps/>
        </w:rPr>
        <w:t>ACM U.S. Public Policy Council</w:t>
      </w:r>
    </w:p>
    <w:p>
      <w:pPr>
        <w:spacing w:line="278" w:lineRule="auto"/>
        <w:jc w:val="center"/>
      </w:pPr>
      <w:r>
        <w:t>For the Period:  July 1, 2015 - June 30, 2016</w:t>
      </w:r>
    </w:p>
    <w:p>
      <w:pPr>
        <w:spacing w:line="278" w:lineRule="auto"/>
        <w:jc w:val="center"/>
      </w:pPr>
      <w:r>
        <w:t>Submitted by ___</w:t>
      </w:r>
      <w:r>
        <w:rPr>
          <w:u w:val="single"/>
        </w:rPr>
        <w:t xml:space="preserve">Brian Dean, Chair </w:t>
      </w:r>
      <w:r>
        <w:t>_____</w:t>
      </w:r>
    </w:p>
    <w:p>
      <w:pPr>
        <w:pStyle w:val="Heading1"/>
        <w:numPr>
          <w:ilvl w:val="0"/>
          <w:numId w:val="33"/>
        </w:numPr>
      </w:pPr>
      <w:r>
        <w:t>BASIC INFORMATION</w:t>
      </w:r>
    </w:p>
    <w:p>
      <w:pPr>
        <w:pStyle w:val="Heading2"/>
      </w:pPr>
      <w:r>
        <w:t>Privacy Committee Members</w:t>
      </w:r>
    </w:p>
    <w:p>
      <w:pPr>
        <w:ind w:left="720"/>
      </w:pPr>
      <w:r>
        <w:t xml:space="preserve">Brian Dean </w:t>
      </w:r>
      <w:r>
        <w:rPr>
          <w:lang w:eastAsia="ja-JP"/>
        </w:rPr>
        <w:t>(Chair)</w:t>
      </w:r>
    </w:p>
    <w:p>
      <w:pPr>
        <w:ind w:left="720"/>
      </w:pPr>
      <w:r>
        <w:t>Annie Antón</w:t>
      </w:r>
    </w:p>
    <w:p>
      <w:pPr>
        <w:ind w:left="720"/>
      </w:pPr>
      <w:r>
        <w:t>Steve Bellovin</w:t>
      </w:r>
    </w:p>
    <w:p>
      <w:pPr>
        <w:ind w:left="720"/>
      </w:pPr>
      <w:r>
        <w:t>Travis Breaux</w:t>
      </w:r>
      <w:r>
        <w:br/>
        <w:t>Eric Burger</w:t>
      </w:r>
      <w:r>
        <w:br/>
        <w:t xml:space="preserve">James </w:t>
      </w:r>
      <w:proofErr w:type="spellStart"/>
      <w:r>
        <w:t>Cohoon</w:t>
      </w:r>
      <w:proofErr w:type="spellEnd"/>
      <w:r>
        <w:br/>
        <w:t>Lillie Coney</w:t>
      </w:r>
      <w:r>
        <w:br/>
        <w:t xml:space="preserve">Lorrie </w:t>
      </w:r>
      <w:proofErr w:type="spellStart"/>
      <w:r>
        <w:t>Cranor</w:t>
      </w:r>
      <w:proofErr w:type="spellEnd"/>
      <w:r>
        <w:br/>
        <w:t xml:space="preserve">William </w:t>
      </w:r>
      <w:proofErr w:type="spellStart"/>
      <w:r>
        <w:t>Doane</w:t>
      </w:r>
      <w:proofErr w:type="spellEnd"/>
    </w:p>
    <w:p>
      <w:pPr>
        <w:ind w:left="720"/>
      </w:pPr>
      <w:r>
        <w:t>Cory Doctorow</w:t>
      </w:r>
      <w:r>
        <w:br/>
        <w:t>Julie Earp</w:t>
      </w:r>
      <w:r>
        <w:br/>
        <w:t>Bob Ellis</w:t>
      </w:r>
      <w:r>
        <w:br/>
        <w:t>Dave Farber</w:t>
      </w:r>
    </w:p>
    <w:p>
      <w:pPr>
        <w:ind w:left="720"/>
      </w:pPr>
      <w:r>
        <w:t>Nick Feamster</w:t>
      </w:r>
      <w:r>
        <w:br/>
        <w:t>Stuart Feldman</w:t>
      </w:r>
    </w:p>
    <w:p>
      <w:pPr>
        <w:ind w:left="720"/>
      </w:pPr>
      <w:r>
        <w:t>Seymour Goodman</w:t>
      </w:r>
    </w:p>
    <w:p>
      <w:pPr>
        <w:ind w:left="720"/>
      </w:pPr>
      <w:r>
        <w:t>David Gordon</w:t>
      </w:r>
    </w:p>
    <w:p>
      <w:pPr>
        <w:ind w:left="720"/>
      </w:pPr>
      <w:r>
        <w:t>Alex Gyori</w:t>
      </w:r>
    </w:p>
    <w:p>
      <w:pPr>
        <w:ind w:left="720"/>
      </w:pPr>
      <w:r>
        <w:t>Mark P. Hahn</w:t>
      </w:r>
      <w:r>
        <w:br/>
        <w:t>Rebecca Herold</w:t>
      </w:r>
      <w:r>
        <w:br/>
        <w:t>Lance Hoffman</w:t>
      </w:r>
      <w:r>
        <w:br/>
        <w:t>Maritza Johnson</w:t>
      </w:r>
      <w:r>
        <w:br/>
        <w:t>Douglas Jones</w:t>
      </w:r>
    </w:p>
    <w:p>
      <w:pPr>
        <w:ind w:left="720"/>
      </w:pPr>
      <w:r>
        <w:t xml:space="preserve">Meg </w:t>
      </w:r>
      <w:proofErr w:type="spellStart"/>
      <w:r>
        <w:t>Leta</w:t>
      </w:r>
      <w:proofErr w:type="spellEnd"/>
      <w:r>
        <w:t xml:space="preserve"> Jones</w:t>
      </w:r>
    </w:p>
    <w:p>
      <w:pPr>
        <w:ind w:left="720"/>
      </w:pPr>
      <w:r>
        <w:t>Patrick Kelly</w:t>
      </w:r>
      <w:r>
        <w:br/>
        <w:t>Lorraine Kisselburgh</w:t>
      </w:r>
      <w:r>
        <w:br/>
        <w:t>Kim Lawson-Jenkins</w:t>
      </w:r>
    </w:p>
    <w:p>
      <w:pPr>
        <w:ind w:left="720"/>
      </w:pPr>
      <w:r>
        <w:t>Samuel Liles</w:t>
      </w:r>
      <w:r>
        <w:br/>
        <w:t>Aaron Massey</w:t>
      </w:r>
    </w:p>
    <w:p>
      <w:pPr>
        <w:ind w:left="720"/>
      </w:pPr>
      <w:r>
        <w:t>Lynette Millett</w:t>
      </w:r>
      <w:r>
        <w:br/>
        <w:t>Sam Morales</w:t>
      </w:r>
      <w:r>
        <w:br/>
        <w:t>Peter G. Neumann</w:t>
      </w:r>
    </w:p>
    <w:p>
      <w:pPr>
        <w:ind w:left="720"/>
      </w:pPr>
      <w:r>
        <w:t>Andy Oram</w:t>
      </w:r>
      <w:r>
        <w:br/>
        <w:t>Paul Otto</w:t>
      </w:r>
      <w:r>
        <w:br/>
        <w:t>Garry Paxinos</w:t>
      </w:r>
      <w:r>
        <w:br/>
        <w:t>Mark Rasch</w:t>
      </w:r>
    </w:p>
    <w:p>
      <w:pPr>
        <w:ind w:left="720"/>
      </w:pPr>
      <w:r>
        <w:t>Alan Rea</w:t>
      </w:r>
    </w:p>
    <w:p>
      <w:pPr>
        <w:ind w:left="720"/>
      </w:pPr>
      <w:r>
        <w:t>Chris Roberts</w:t>
      </w:r>
      <w:r>
        <w:br/>
        <w:t>David Robinson</w:t>
      </w:r>
      <w:r>
        <w:br/>
        <w:t>Arnon Rosenthal</w:t>
      </w:r>
      <w:r>
        <w:br/>
        <w:t>George Roussos</w:t>
      </w:r>
      <w:r>
        <w:br/>
        <w:t xml:space="preserve">Anthony </w:t>
      </w:r>
      <w:proofErr w:type="spellStart"/>
      <w:r>
        <w:t>Ruocco</w:t>
      </w:r>
      <w:proofErr w:type="spellEnd"/>
      <w:r>
        <w:br/>
        <w:t>Pam Samuelson</w:t>
      </w:r>
      <w:r>
        <w:br/>
        <w:t>Fred Schneider</w:t>
      </w:r>
      <w:r>
        <w:br/>
      </w:r>
      <w:proofErr w:type="spellStart"/>
      <w:r>
        <w:t>Bhavani</w:t>
      </w:r>
      <w:proofErr w:type="spellEnd"/>
      <w:r>
        <w:t xml:space="preserve"> Thuraisingham</w:t>
      </w:r>
    </w:p>
    <w:p>
      <w:pPr>
        <w:ind w:left="720"/>
      </w:pPr>
      <w:r>
        <w:t xml:space="preserve">Patrick </w:t>
      </w:r>
      <w:proofErr w:type="spellStart"/>
      <w:r>
        <w:t>Traynor</w:t>
      </w:r>
      <w:proofErr w:type="spellEnd"/>
      <w:r>
        <w:br/>
        <w:t>Lorenzo Valeri</w:t>
      </w:r>
    </w:p>
    <w:p>
      <w:pPr>
        <w:ind w:left="720"/>
      </w:pPr>
      <w:r>
        <w:t>Tao Xie</w:t>
      </w:r>
      <w:r>
        <w:br/>
        <w:t>Jessica Young</w:t>
      </w:r>
    </w:p>
    <w:p>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pPr>
        <w:pStyle w:val="Heading2"/>
      </w:pPr>
      <w:r>
        <w:t>Purpose of the Privacy Committee</w:t>
      </w:r>
    </w:p>
    <w:p>
      <w:pPr>
        <w:ind w:left="720"/>
      </w:pPr>
      <w:r>
        <w:t xml:space="preserve">The Privacy Committee seeks to facilitate a greater understanding of the issues at the intersection of privacy and technology. </w:t>
      </w:r>
    </w:p>
    <w:p>
      <w:pPr>
        <w:pStyle w:val="Heading2"/>
      </w:pPr>
      <w:r>
        <w:t>Privacy Committee Meetings</w:t>
      </w:r>
    </w:p>
    <w:p>
      <w:pPr>
        <w:tabs>
          <w:tab w:val="left" w:pos="432"/>
          <w:tab w:val="left" w:pos="720"/>
          <w:tab w:val="left" w:pos="1152"/>
          <w:tab w:val="left" w:pos="3744"/>
          <w:tab w:val="left" w:pos="6192"/>
        </w:tabs>
        <w:spacing w:line="278" w:lineRule="auto"/>
        <w:ind w:left="720"/>
      </w:pPr>
      <w:r>
        <w:t xml:space="preserve">Committee business is conducted via listserv discussions and monthly Committee calls. </w:t>
      </w:r>
    </w:p>
    <w:p>
      <w:pPr>
        <w:pStyle w:val="Heading1"/>
      </w:pPr>
      <w:r>
        <w:t>PROJECT SUMMARY</w:t>
      </w:r>
    </w:p>
    <w:p>
      <w:pPr>
        <w:ind w:left="720"/>
        <w:rPr>
          <w:b/>
        </w:rPr>
      </w:pPr>
      <w:r>
        <w:rPr>
          <w:b/>
        </w:rPr>
        <w:t>Comments to the White House on a Revised Policy for Managing Federal IT Systems</w:t>
      </w:r>
    </w:p>
    <w:p>
      <w:pPr>
        <w:ind w:left="720"/>
      </w:pPr>
      <w:r>
        <w:t xml:space="preserve">The committee collaborated with other USACM committees on comments to the White House Office of Management and Budget (OMB) on proposed revisions to the policy guidance on information technology management for federal executives. </w:t>
      </w:r>
      <w:proofErr w:type="gramStart"/>
      <w:r>
        <w:t>The policy document, known as Circular No.</w:t>
      </w:r>
      <w:proofErr w:type="gramEnd"/>
      <w:r>
        <w:t xml:space="preserve"> A-130 and titled Managing Information as a Strategic Resource, was last updated 16 years ago. USACM's comments helped contribute to the strengthening of the treatment of privacy and the coordination between security and privacy functions at all levels.</w:t>
      </w:r>
    </w:p>
    <w:p>
      <w:pPr>
        <w:ind w:left="720"/>
        <w:rPr>
          <w:b/>
        </w:rPr>
      </w:pPr>
    </w:p>
    <w:p>
      <w:pPr>
        <w:ind w:left="720"/>
        <w:rPr>
          <w:b/>
        </w:rPr>
      </w:pPr>
      <w:r>
        <w:rPr>
          <w:b/>
        </w:rPr>
        <w:t>Comments to National Telecommunications and Information Administration (NTIA) on the Potential Benefits and Challenges of the Internet of Things</w:t>
      </w:r>
    </w:p>
    <w:p>
      <w:pPr>
        <w:ind w:left="720"/>
      </w:pPr>
      <w:r>
        <w:t xml:space="preserve">The committee contributed to USACM's comments to the National Telecommunications and Information Administration (NTIA) on the potential benefits and challenges of the Internet of Things and what role the U.S. Government should play in this area. USACM described new privacy and security concerns related to </w:t>
      </w:r>
      <w:proofErr w:type="spellStart"/>
      <w:r>
        <w:t>IoT</w:t>
      </w:r>
      <w:proofErr w:type="spellEnd"/>
      <w:r>
        <w:t xml:space="preserve"> and their importance to public policies.</w:t>
      </w:r>
    </w:p>
    <w:p>
      <w:pPr>
        <w:ind w:left="720"/>
      </w:pPr>
    </w:p>
    <w:p>
      <w:pPr>
        <w:ind w:left="720"/>
        <w:rPr>
          <w:b/>
        </w:rPr>
      </w:pPr>
      <w:r>
        <w:rPr>
          <w:b/>
        </w:rPr>
        <w:t xml:space="preserve">Comments to the National Institute of Standards and Technology on the draft Privacy Risk Management Framework for Federal Information Systems </w:t>
      </w:r>
    </w:p>
    <w:p>
      <w:pPr>
        <w:ind w:left="720"/>
      </w:pPr>
      <w:r>
        <w:t>The committee developed comments that USACM submitted to the National Institute of Standards and Technology (NIST) on a proposed privacy risk management framework for federal agencies and their contractors to accurately assess privacy risk and to put controls in place to limit the risk to acceptable levels. The framework aims to help foster understanding, acceptance, and adoptability of effective risk management programs.</w:t>
      </w:r>
    </w:p>
    <w:p>
      <w:pPr>
        <w:ind w:left="720"/>
      </w:pPr>
    </w:p>
    <w:p>
      <w:pPr>
        <w:ind w:left="720"/>
        <w:rPr>
          <w:b/>
        </w:rPr>
      </w:pPr>
      <w:r>
        <w:rPr>
          <w:b/>
        </w:rPr>
        <w:t>Comments to the U.S. Department of Health and Human Services on Federal Regulations Governing the Protection of Research Participants</w:t>
      </w:r>
    </w:p>
    <w:p>
      <w:pPr>
        <w:ind w:left="720"/>
      </w:pPr>
      <w:r>
        <w:t>The committee collaborated with other committees and ACM's Special Interest Groups (SIGs) on comments submitted to the U.S. Department of Health and Human Services (HHS) on proposed updates to the federal regulations for research involving human subjects. These regulations, known as the Common Rule, are used by 20+ federal agencies and have implications for the sensitive data of individuals participating in federally funded research studies.</w:t>
      </w:r>
    </w:p>
    <w:p>
      <w:pPr>
        <w:ind w:left="720"/>
      </w:pPr>
    </w:p>
    <w:p>
      <w:pPr>
        <w:ind w:left="720"/>
        <w:rPr>
          <w:b/>
        </w:rPr>
      </w:pPr>
      <w:r>
        <w:rPr>
          <w:b/>
        </w:rPr>
        <w:t>NTIA Multi-Stakeholder Process on Drone Privacy, Transparency, and Accountability</w:t>
      </w:r>
    </w:p>
    <w:p>
      <w:pPr>
        <w:ind w:left="720"/>
        <w:rPr>
          <w:lang w:eastAsia="ja-JP"/>
        </w:rPr>
      </w:pPr>
      <w:r>
        <w:rPr>
          <w:lang w:eastAsia="ja-JP"/>
        </w:rPr>
        <w:t xml:space="preserve">The Presidential Memorandum on unmanned aircraft systems (UAS) states: “As UAS are integrated into the NAS, the Federal Government will take steps to ensure that the integration takes into account not only our economic competitiveness and public safety, but also the privacy, civil rights, and civil liberties concerns these systems may raise.” The Presidential Memorandum established a “multi-stakeholder engagement process to develop and communicate best practices for privacy, accountability, and transparency issues regarding commercial and private UAS use in the NAS.” </w:t>
      </w:r>
    </w:p>
    <w:p/>
    <w:p>
      <w:pPr>
        <w:pStyle w:val="Heading1"/>
      </w:pPr>
      <w:r>
        <w:t>Plans</w:t>
      </w:r>
    </w:p>
    <w:p>
      <w:pPr>
        <w:pStyle w:val="Heading2"/>
      </w:pPr>
      <w:r>
        <w:t>Proposed Projects</w:t>
      </w:r>
    </w:p>
    <w:p>
      <w:pPr>
        <w:ind w:left="720"/>
        <w:rPr>
          <w:b/>
        </w:rPr>
      </w:pPr>
      <w:r>
        <w:rPr>
          <w:b/>
        </w:rPr>
        <w:t>U.S. Department of Commerce: Workshop on the Internet of Things</w:t>
      </w:r>
    </w:p>
    <w:p>
      <w:pPr>
        <w:ind w:left="720"/>
      </w:pPr>
      <w:r>
        <w:t xml:space="preserve">The committee will work with and advise the new USACM Working Group on the Internet of Things. USACM will participate in a fall 2016 workshop on the potential technical and policy challenges of the Internet of Things convened by the U.S. Department of Commerce’s Internet Policy Task Force and the Digital Economy Leadership Team on Fostering the Advancement of the Internet of Things. The workshop will build on written comments submitted by various stakeholders. USACM submitted comments addressing privacy and security issues. The public input from the written comments and the workshop will inform the Department's forthcoming “green paper” that will identify key issues impacting deployment of these technologies, highlight potential benefits and challenges, and identify possible roles for the federal government in fostering the advancement of </w:t>
      </w:r>
      <w:proofErr w:type="spellStart"/>
      <w:r>
        <w:t>IoT</w:t>
      </w:r>
      <w:proofErr w:type="spellEnd"/>
      <w:r>
        <w:t xml:space="preserve"> technologies in partnership with the private sector.</w:t>
      </w:r>
    </w:p>
    <w:p>
      <w:pPr>
        <w:ind w:left="720"/>
      </w:pPr>
    </w:p>
    <w:p>
      <w:pPr>
        <w:ind w:left="720"/>
        <w:rPr>
          <w:b/>
        </w:rPr>
      </w:pPr>
      <w:r>
        <w:rPr>
          <w:b/>
        </w:rPr>
        <w:t xml:space="preserve">Article on Privacy in the Digital Age </w:t>
      </w:r>
    </w:p>
    <w:p>
      <w:pPr>
        <w:ind w:left="720"/>
      </w:pPr>
      <w:r>
        <w:t xml:space="preserve">The committee will develop and publish an article in an ACM publication related to the impact of advances in technologies on privacy and public policy. </w:t>
      </w:r>
    </w:p>
    <w:p>
      <w:pPr>
        <w:jc w:val="center"/>
        <w:rPr>
          <w:b/>
        </w:rPr>
      </w:pPr>
    </w:p>
    <w:p>
      <w:pPr>
        <w:jc w:val="center"/>
        <w:rPr>
          <w:b/>
        </w:rPr>
      </w:pPr>
    </w:p>
    <w:p>
      <w:pPr>
        <w:jc w:val="center"/>
        <w:rPr>
          <w:b/>
        </w:rPr>
      </w:pPr>
      <w:r>
        <w:rPr>
          <w:b/>
        </w:rPr>
        <w:t>PRIVACY COMMITTEE APPENDIX</w:t>
      </w:r>
    </w:p>
    <w:p>
      <w:pPr>
        <w:spacing w:line="278" w:lineRule="auto"/>
      </w:pPr>
    </w:p>
    <w:p>
      <w:pPr>
        <w:spacing w:line="278" w:lineRule="auto"/>
        <w:ind w:left="720"/>
      </w:pPr>
      <w:r>
        <w:t xml:space="preserve">Address list of all committee members and other persons responsible for projects. </w:t>
      </w:r>
    </w:p>
    <w:p>
      <w:pPr>
        <w:spacing w:line="278" w:lineRule="auto"/>
        <w:ind w:left="720" w:firstLine="720"/>
      </w:pPr>
    </w:p>
    <w:p>
      <w:pPr>
        <w:spacing w:line="278" w:lineRule="auto"/>
        <w:ind w:left="720" w:firstLine="720"/>
      </w:pPr>
      <w:r>
        <w:t>Name:</w:t>
      </w:r>
      <w:r>
        <w:tab/>
        <w:t>Brian Dean</w:t>
      </w:r>
      <w:r>
        <w:tab/>
      </w:r>
      <w:r>
        <w:tab/>
      </w:r>
      <w:r>
        <w:tab/>
      </w:r>
      <w:r>
        <w:tab/>
      </w:r>
      <w:r>
        <w:tab/>
      </w:r>
    </w:p>
    <w:p>
      <w:pPr>
        <w:spacing w:line="278" w:lineRule="auto"/>
      </w:pPr>
      <w:r>
        <w:tab/>
      </w:r>
      <w:r>
        <w:tab/>
        <w:t>Address:  2170 Fordham Lane, Cleveland, Ohio 44147</w:t>
      </w:r>
    </w:p>
    <w:p>
      <w:pPr>
        <w:spacing w:line="278" w:lineRule="auto"/>
      </w:pPr>
      <w:r>
        <w:tab/>
      </w:r>
      <w:r>
        <w:tab/>
        <w:t>Phone: 216-217-0029</w:t>
      </w:r>
    </w:p>
    <w:p>
      <w:pPr>
        <w:spacing w:line="278" w:lineRule="auto"/>
      </w:pPr>
      <w:r>
        <w:tab/>
      </w:r>
      <w:r>
        <w:tab/>
        <w:t xml:space="preserve">Email: </w:t>
      </w:r>
      <w:hyperlink r:id="rId13" w:history="1">
        <w:r>
          <w:rPr>
            <w:rStyle w:val="Hyperlink"/>
          </w:rPr>
          <w:t>brian.dean@cox.net</w:t>
        </w:r>
      </w:hyperlink>
    </w:p>
    <w:p>
      <w:pPr>
        <w:spacing w:line="278" w:lineRule="auto"/>
      </w:pPr>
      <w:r>
        <w:tab/>
      </w:r>
      <w:r>
        <w:tab/>
        <w:t>Responsibility within the Committee: Chair</w:t>
      </w:r>
    </w:p>
    <w:p>
      <w:pPr>
        <w:pStyle w:val="Heading9"/>
      </w:pPr>
      <w:r>
        <w:br w:type="page"/>
      </w:r>
      <w:bookmarkStart w:id="8" w:name="_Toc458876072"/>
      <w:r>
        <w:t>Appendix F</w:t>
      </w:r>
      <w:r>
        <w:br w:type="textWrapping" w:clear="all"/>
        <w:t>Security Committee</w:t>
      </w:r>
      <w:bookmarkEnd w:id="8"/>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SECURITY Committee</w:t>
      </w:r>
      <w:r>
        <w:t xml:space="preserve"> </w:t>
      </w:r>
      <w:r>
        <w:br w:type="textWrapping" w:clear="all"/>
        <w:t xml:space="preserve">of the </w:t>
      </w:r>
      <w:r>
        <w:rPr>
          <w:caps/>
        </w:rPr>
        <w:t>ACM U.S. Public Policy Council</w:t>
      </w:r>
    </w:p>
    <w:p>
      <w:pPr>
        <w:spacing w:line="278" w:lineRule="auto"/>
        <w:jc w:val="center"/>
      </w:pPr>
      <w:r>
        <w:t>For the Period:  July 1, 2015 - June 30, 2016</w:t>
      </w:r>
    </w:p>
    <w:p>
      <w:pPr>
        <w:spacing w:line="278" w:lineRule="auto"/>
        <w:jc w:val="center"/>
      </w:pPr>
      <w:r>
        <w:t>Submitted by ___</w:t>
      </w:r>
      <w:r>
        <w:rPr>
          <w:u w:val="single"/>
        </w:rPr>
        <w:t xml:space="preserve">Alec Yasinsac, Chair </w:t>
      </w:r>
      <w:r>
        <w:t>_____</w:t>
      </w:r>
    </w:p>
    <w:p>
      <w:pPr>
        <w:pStyle w:val="Heading1"/>
        <w:numPr>
          <w:ilvl w:val="0"/>
          <w:numId w:val="47"/>
        </w:numPr>
      </w:pPr>
      <w:r>
        <w:t>BASIC INFORMATION</w:t>
      </w:r>
    </w:p>
    <w:p>
      <w:pPr>
        <w:pStyle w:val="Heading2"/>
      </w:pPr>
      <w:r>
        <w:t>Security Committee Members</w:t>
      </w:r>
    </w:p>
    <w:p>
      <w:pPr>
        <w:ind w:left="720"/>
        <w:rPr>
          <w:lang w:eastAsia="ja-JP"/>
        </w:rPr>
      </w:pPr>
      <w:r>
        <w:t xml:space="preserve">Alec Yasinsac </w:t>
      </w:r>
      <w:r>
        <w:rPr>
          <w:lang w:eastAsia="ja-JP"/>
        </w:rPr>
        <w:t>(Chair)</w:t>
      </w:r>
    </w:p>
    <w:p>
      <w:pPr>
        <w:ind w:left="720"/>
      </w:pPr>
      <w:r>
        <w:t>Annie Antón</w:t>
      </w:r>
    </w:p>
    <w:p>
      <w:pPr>
        <w:ind w:left="720"/>
      </w:pPr>
      <w:r>
        <w:t>Steve Bellovin</w:t>
      </w:r>
    </w:p>
    <w:p>
      <w:pPr>
        <w:ind w:left="720"/>
      </w:pPr>
      <w:r>
        <w:t>Travis Breaux</w:t>
      </w:r>
    </w:p>
    <w:p>
      <w:pPr>
        <w:ind w:left="720"/>
      </w:pPr>
      <w:r>
        <w:t>Chris Bronk</w:t>
      </w:r>
      <w:r>
        <w:br/>
        <w:t>Eric Burger</w:t>
      </w:r>
      <w:r>
        <w:br/>
        <w:t xml:space="preserve">James </w:t>
      </w:r>
      <w:proofErr w:type="spellStart"/>
      <w:r>
        <w:t>Cohoon</w:t>
      </w:r>
      <w:proofErr w:type="spellEnd"/>
      <w:r>
        <w:br/>
        <w:t>Lillie Coney</w:t>
      </w:r>
      <w:r>
        <w:br/>
        <w:t xml:space="preserve">Lorrie </w:t>
      </w:r>
      <w:proofErr w:type="spellStart"/>
      <w:r>
        <w:t>Cranor</w:t>
      </w:r>
      <w:proofErr w:type="spellEnd"/>
    </w:p>
    <w:p>
      <w:pPr>
        <w:ind w:left="720"/>
      </w:pPr>
      <w:r>
        <w:t xml:space="preserve">William </w:t>
      </w:r>
      <w:proofErr w:type="spellStart"/>
      <w:r>
        <w:t>Doane</w:t>
      </w:r>
      <w:proofErr w:type="spellEnd"/>
    </w:p>
    <w:p>
      <w:pPr>
        <w:ind w:left="720"/>
      </w:pPr>
      <w:r>
        <w:t>Cory Doctorow</w:t>
      </w:r>
      <w:r>
        <w:br/>
        <w:t>Julie Earp</w:t>
      </w:r>
      <w:r>
        <w:br/>
        <w:t>Bob Ellis</w:t>
      </w:r>
      <w:r>
        <w:br/>
        <w:t>Dave Farber</w:t>
      </w:r>
      <w:r>
        <w:br/>
        <w:t>Stuart Feldman</w:t>
      </w:r>
    </w:p>
    <w:p>
      <w:pPr>
        <w:ind w:left="720"/>
      </w:pPr>
      <w:r>
        <w:t>Seymour Goodman</w:t>
      </w:r>
    </w:p>
    <w:p>
      <w:pPr>
        <w:ind w:left="720"/>
      </w:pPr>
      <w:r>
        <w:t>David Gordon</w:t>
      </w:r>
    </w:p>
    <w:p>
      <w:pPr>
        <w:ind w:left="720"/>
      </w:pPr>
      <w:r>
        <w:t>Mark P. Hahn</w:t>
      </w:r>
      <w:r>
        <w:br/>
        <w:t>Rebecca Herold</w:t>
      </w:r>
      <w:r>
        <w:br/>
        <w:t>Lance Hoffman</w:t>
      </w:r>
      <w:r>
        <w:br/>
        <w:t>Maritza Johnson</w:t>
      </w:r>
      <w:r>
        <w:br/>
        <w:t>Douglas Jones</w:t>
      </w:r>
    </w:p>
    <w:p>
      <w:pPr>
        <w:ind w:left="720"/>
      </w:pPr>
      <w:r>
        <w:t xml:space="preserve">Meg </w:t>
      </w:r>
      <w:proofErr w:type="spellStart"/>
      <w:r>
        <w:t>Leta</w:t>
      </w:r>
      <w:proofErr w:type="spellEnd"/>
      <w:r>
        <w:t xml:space="preserve"> Jones</w:t>
      </w:r>
    </w:p>
    <w:p>
      <w:pPr>
        <w:ind w:left="720"/>
      </w:pPr>
      <w:r>
        <w:t>Patrick Kelly</w:t>
      </w:r>
      <w:r>
        <w:br/>
        <w:t>Lorraine Kisselburgh</w:t>
      </w:r>
      <w:r>
        <w:br/>
        <w:t>Kim Lawson-Jenkins</w:t>
      </w:r>
    </w:p>
    <w:p>
      <w:pPr>
        <w:ind w:left="720"/>
      </w:pPr>
      <w:r>
        <w:t>Samuel Liles</w:t>
      </w:r>
      <w:r>
        <w:br/>
        <w:t>Aaron Massey</w:t>
      </w:r>
    </w:p>
    <w:p>
      <w:pPr>
        <w:ind w:left="720"/>
      </w:pPr>
      <w:r>
        <w:t>Lynette Millett</w:t>
      </w:r>
      <w:r>
        <w:br/>
        <w:t>Sam Morales</w:t>
      </w:r>
    </w:p>
    <w:p>
      <w:pPr>
        <w:ind w:left="720"/>
      </w:pPr>
      <w:r>
        <w:t>John Murray</w:t>
      </w:r>
      <w:r>
        <w:br/>
        <w:t>Peter G. Neumann</w:t>
      </w:r>
    </w:p>
    <w:p>
      <w:pPr>
        <w:ind w:left="720"/>
      </w:pPr>
      <w:r>
        <w:t>Andy Oram</w:t>
      </w:r>
      <w:r>
        <w:br/>
        <w:t>Paul Otto</w:t>
      </w:r>
      <w:r>
        <w:br/>
        <w:t>Garry Paxinos</w:t>
      </w:r>
      <w:r>
        <w:br/>
        <w:t>Mark Rasch</w:t>
      </w:r>
    </w:p>
    <w:p>
      <w:pPr>
        <w:ind w:left="720"/>
      </w:pPr>
      <w:r>
        <w:t>Alan Rea</w:t>
      </w:r>
    </w:p>
    <w:p>
      <w:pPr>
        <w:ind w:left="720"/>
      </w:pPr>
      <w:r>
        <w:t>Chris Roberts</w:t>
      </w:r>
      <w:r>
        <w:br/>
        <w:t>David Robinson</w:t>
      </w:r>
      <w:r>
        <w:br/>
        <w:t>Arnon Rosenthal</w:t>
      </w:r>
      <w:r>
        <w:br/>
        <w:t>George Roussos</w:t>
      </w:r>
      <w:r>
        <w:br/>
        <w:t xml:space="preserve">Anthony </w:t>
      </w:r>
      <w:proofErr w:type="spellStart"/>
      <w:r>
        <w:t>Ruocco</w:t>
      </w:r>
      <w:proofErr w:type="spellEnd"/>
      <w:r>
        <w:br/>
        <w:t>Pam Samuelson</w:t>
      </w:r>
      <w:r>
        <w:br/>
        <w:t>Fred Schneider</w:t>
      </w:r>
      <w:r>
        <w:br/>
      </w:r>
      <w:proofErr w:type="spellStart"/>
      <w:r>
        <w:t>Bhavani</w:t>
      </w:r>
      <w:proofErr w:type="spellEnd"/>
      <w:r>
        <w:t xml:space="preserve"> Thuraisingham</w:t>
      </w:r>
    </w:p>
    <w:p>
      <w:pPr>
        <w:ind w:left="720"/>
      </w:pPr>
      <w:r>
        <w:t xml:space="preserve">Patrick </w:t>
      </w:r>
      <w:proofErr w:type="spellStart"/>
      <w:r>
        <w:t>Traynor</w:t>
      </w:r>
      <w:proofErr w:type="spellEnd"/>
      <w:r>
        <w:br/>
        <w:t>Lorenzo Valeri</w:t>
      </w:r>
    </w:p>
    <w:p>
      <w:pPr>
        <w:ind w:left="720"/>
      </w:pPr>
      <w:r>
        <w:t>Emil Volcheck</w:t>
      </w:r>
      <w:r>
        <w:br/>
        <w:t>David Wagner</w:t>
      </w:r>
    </w:p>
    <w:p>
      <w:pPr>
        <w:ind w:left="720"/>
      </w:pPr>
      <w:r>
        <w:t>Tao Xie</w:t>
      </w:r>
    </w:p>
    <w:p>
      <w:pPr>
        <w:ind w:left="720"/>
      </w:pPr>
      <w:r>
        <w:t>Jessica Young</w:t>
      </w:r>
    </w:p>
    <w:p>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pPr>
        <w:pStyle w:val="Heading2"/>
      </w:pPr>
      <w:r>
        <w:t>Purpose of the Security Committee</w:t>
      </w:r>
    </w:p>
    <w:p>
      <w:pPr>
        <w:ind w:left="720"/>
      </w:pPr>
      <w:r>
        <w:t>The Security Committee promotes the embodiment of security in computing and computing-related infrastructures and seeks to contribute to policy solutions that foster secure, stable, robust, and trustworthy computing environments.</w:t>
      </w:r>
    </w:p>
    <w:p>
      <w:pPr>
        <w:pStyle w:val="Heading2"/>
      </w:pPr>
      <w:r>
        <w:t>Security Committee Meetings</w:t>
      </w:r>
    </w:p>
    <w:p>
      <w:pPr>
        <w:pStyle w:val="Heading1"/>
        <w:numPr>
          <w:ilvl w:val="0"/>
          <w:numId w:val="0"/>
        </w:numPr>
        <w:ind w:left="720"/>
        <w:rPr>
          <w:b w:val="0"/>
          <w:bCs w:val="0"/>
          <w:caps w:val="0"/>
          <w:kern w:val="0"/>
          <w:sz w:val="24"/>
          <w:szCs w:val="24"/>
        </w:rPr>
      </w:pPr>
      <w:r>
        <w:rPr>
          <w:b w:val="0"/>
          <w:bCs w:val="0"/>
          <w:caps w:val="0"/>
          <w:kern w:val="0"/>
          <w:sz w:val="24"/>
          <w:szCs w:val="24"/>
        </w:rPr>
        <w:t xml:space="preserve">Committee business is conducted by listserv discussions and monthly Committee calls. </w:t>
      </w:r>
    </w:p>
    <w:p>
      <w:pPr>
        <w:pStyle w:val="Heading1"/>
      </w:pPr>
      <w:r>
        <w:t>PROJECT SUMMARY</w:t>
      </w:r>
    </w:p>
    <w:p>
      <w:pPr>
        <w:ind w:left="720"/>
        <w:rPr>
          <w:b/>
        </w:rPr>
      </w:pPr>
      <w:r>
        <w:rPr>
          <w:b/>
        </w:rPr>
        <w:t>Comments to the White House on a Revised Policy for Managing Federal IT Systems</w:t>
      </w:r>
    </w:p>
    <w:p>
      <w:pPr>
        <w:ind w:left="720"/>
      </w:pPr>
      <w:r>
        <w:t xml:space="preserve">The committee collaborated with other USACM committees on comments to the White House Office of Management and Budget (OMB) on proposed revisions to the policy guidance on information technology management for federal executives. </w:t>
      </w:r>
      <w:proofErr w:type="gramStart"/>
      <w:r>
        <w:t>The policy document, known as Circular No.</w:t>
      </w:r>
      <w:proofErr w:type="gramEnd"/>
      <w:r>
        <w:t xml:space="preserve"> A-130 and titled Managing Information as a Strategic Resource, was last updated 16 years ago. USACM's comments helped contribute to the strengthening of the treatment of privacy and the coordination between security and privacy functions at all levels.</w:t>
      </w:r>
    </w:p>
    <w:p>
      <w:pPr>
        <w:ind w:left="720"/>
      </w:pPr>
    </w:p>
    <w:p>
      <w:pPr>
        <w:ind w:left="720"/>
        <w:rPr>
          <w:b/>
        </w:rPr>
      </w:pPr>
      <w:r>
        <w:rPr>
          <w:b/>
        </w:rPr>
        <w:t>Comments to the U.S. Copyright Office on Security Research Exemptions under the Digital Millennium Copyright Act</w:t>
      </w:r>
    </w:p>
    <w:p>
      <w:pPr>
        <w:tabs>
          <w:tab w:val="num" w:pos="2160"/>
        </w:tabs>
        <w:ind w:left="720"/>
      </w:pPr>
      <w:r>
        <w:t xml:space="preserve">The committee, with input from other USACM committees, developed comments to the U.S. Copyright Office in support of computer security research exemptions from the prohibition against circumvention </w:t>
      </w:r>
      <w:r>
        <w:rPr>
          <w:rStyle w:val="st"/>
        </w:rPr>
        <w:t xml:space="preserve">of technological measures protecting copyrighted works under the Digital Millennium Copyright Act (DMCA). The U.S. Copyright Office concluded that proponents for the exemption established substantial evidence that "the DMCA prohibition continues to discourage academic institutions and government entities from funding critical security research." Consistent with USACM's recommendations, the </w:t>
      </w:r>
      <w:r>
        <w:t>Library of Congress</w:t>
      </w:r>
      <w:r>
        <w:rPr>
          <w:rStyle w:val="st"/>
        </w:rPr>
        <w:t xml:space="preserve"> in October 2015 granted a t</w:t>
      </w:r>
      <w:r>
        <w:t xml:space="preserve">emporary exemption for security research on </w:t>
      </w:r>
      <w:r>
        <w:rPr>
          <w:bCs/>
        </w:rPr>
        <w:t>voting systems</w:t>
      </w:r>
      <w:r>
        <w:t>. The Library of Congress also granted a temporary exemption for security research for computing programs used to operate consumer-oriented devices and machines, land vehicles, and medical devices, to become effective in fall 2016.</w:t>
      </w:r>
    </w:p>
    <w:p>
      <w:pPr>
        <w:ind w:left="720"/>
        <w:rPr>
          <w:b/>
        </w:rPr>
      </w:pPr>
    </w:p>
    <w:p>
      <w:pPr>
        <w:ind w:left="720"/>
        <w:rPr>
          <w:b/>
        </w:rPr>
      </w:pPr>
      <w:r>
        <w:rPr>
          <w:b/>
        </w:rPr>
        <w:t>Comments to the U.S. Copyright Office on the Digital Millennium Copyright Act (DMCA) Section 1201 Policy Study</w:t>
      </w:r>
    </w:p>
    <w:p>
      <w:pPr>
        <w:ind w:left="720"/>
      </w:pPr>
      <w:r>
        <w:t>The committee collaborated with other USACM committees on comments to the U.S. Copyright Office for its study on the effectiveness of the Digital Millennium Copyright Act (DMCA) and the permanent and temporary exemptions allowing lawful circumvention of technological measures of copyrighted works. USACM recommended short-term and permanent exemptions to support and expand beneficial computing security research. The U.S. Copyright Office will use the public input to inform its forthcoming report to Congress and its recommendations on possible legislative, regulatory, and policy reforms.</w:t>
      </w:r>
    </w:p>
    <w:p>
      <w:pPr>
        <w:ind w:left="720"/>
        <w:rPr>
          <w:b/>
        </w:rPr>
      </w:pPr>
    </w:p>
    <w:p>
      <w:pPr>
        <w:ind w:left="720"/>
        <w:rPr>
          <w:b/>
        </w:rPr>
      </w:pPr>
      <w:r>
        <w:rPr>
          <w:b/>
        </w:rPr>
        <w:t>Comments to National Telecommunications and Information Administration (NTIA) on the Potential Benefits and Challenges of the Internet of Things</w:t>
      </w:r>
    </w:p>
    <w:p>
      <w:pPr>
        <w:ind w:left="720"/>
      </w:pPr>
      <w:r>
        <w:t xml:space="preserve">The committee collaborated with other USACM committees and the USACM Working Group on the Internet of Things on comments to the National Telecommunications and Information Administration (NTIA) on the potential benefits and challenges of the Internet of Things and what role the U.S. Government should play in this area. USACM described new privacy and security concerns related to </w:t>
      </w:r>
      <w:proofErr w:type="spellStart"/>
      <w:r>
        <w:t>IoT</w:t>
      </w:r>
      <w:proofErr w:type="spellEnd"/>
      <w:r>
        <w:t xml:space="preserve"> and their importance to public policies.</w:t>
      </w:r>
    </w:p>
    <w:p>
      <w:pPr>
        <w:pStyle w:val="Heading1"/>
      </w:pPr>
      <w:r>
        <w:t>Plans</w:t>
      </w:r>
    </w:p>
    <w:p>
      <w:pPr>
        <w:pStyle w:val="Heading2"/>
      </w:pPr>
      <w:r>
        <w:t>Proposed Projects</w:t>
      </w:r>
    </w:p>
    <w:p>
      <w:pPr>
        <w:ind w:left="720"/>
        <w:rPr>
          <w:rStyle w:val="Emphasis"/>
          <w:b/>
          <w:i w:val="0"/>
        </w:rPr>
      </w:pPr>
      <w:r>
        <w:rPr>
          <w:b/>
        </w:rPr>
        <w:t xml:space="preserve">Comments to the </w:t>
      </w:r>
      <w:r>
        <w:rPr>
          <w:rStyle w:val="st"/>
          <w:b/>
        </w:rPr>
        <w:t xml:space="preserve">Presidential </w:t>
      </w:r>
      <w:r>
        <w:rPr>
          <w:rStyle w:val="Emphasis"/>
          <w:b/>
          <w:i w:val="0"/>
        </w:rPr>
        <w:t>Commission on Enhancing National Cybersecurity</w:t>
      </w:r>
    </w:p>
    <w:p>
      <w:pPr>
        <w:ind w:left="720"/>
      </w:pPr>
      <w:r>
        <w:t>The committee will develop comments to the Presidential Commission on Enhancing National Cybersecurity on ways to strengthen cybersecurity in both the public and private sectors while protecting privacy. The Commission was formed April 13, 2016 and was tasked by Executive Order to provide detailed recommendations to strengthen cybersecurity in the near-term and long-term. The comments will help inform the Commission's final report to the President, which is due by December 1, 2016.</w:t>
      </w:r>
    </w:p>
    <w:p>
      <w:pPr>
        <w:ind w:left="720"/>
      </w:pPr>
    </w:p>
    <w:p>
      <w:pPr>
        <w:ind w:left="720"/>
        <w:rPr>
          <w:b/>
        </w:rPr>
      </w:pPr>
      <w:r>
        <w:rPr>
          <w:b/>
        </w:rPr>
        <w:t>U.S. Department of Commerce: Workshop on the Internet of Things</w:t>
      </w:r>
    </w:p>
    <w:p>
      <w:pPr>
        <w:ind w:left="720"/>
      </w:pPr>
      <w:r>
        <w:t xml:space="preserve">The committee will work with and advise the new USACM Working Group on the Internet of Things as related to existing and emergent security issues. USACM will participate in a fall 2016 workshop on the potential technical and policy challenges of the Internet of Things convened by the U.S. Department of Commerce’s Internet Policy Task Force and the Digital Economy Leadership Team on Fostering the Advancement of the Internet of Things. </w:t>
      </w:r>
    </w:p>
    <w:p>
      <w:pPr>
        <w:rPr>
          <w:b/>
        </w:rPr>
      </w:pPr>
    </w:p>
    <w:p>
      <w:pPr>
        <w:jc w:val="center"/>
        <w:rPr>
          <w:b/>
        </w:rPr>
      </w:pPr>
      <w:r>
        <w:rPr>
          <w:b/>
        </w:rPr>
        <w:t>SECURITY COMMITTEE APPENDIX</w:t>
      </w:r>
    </w:p>
    <w:p>
      <w:pPr>
        <w:spacing w:line="278" w:lineRule="auto"/>
      </w:pPr>
    </w:p>
    <w:p>
      <w:pPr>
        <w:spacing w:line="278" w:lineRule="auto"/>
        <w:ind w:left="720"/>
      </w:pPr>
      <w:r>
        <w:t xml:space="preserve">Address list of all committee members and other persons responsible for projects. </w:t>
      </w:r>
    </w:p>
    <w:p>
      <w:pPr>
        <w:spacing w:line="278" w:lineRule="auto"/>
        <w:ind w:left="720" w:firstLine="720"/>
      </w:pPr>
    </w:p>
    <w:p>
      <w:pPr>
        <w:spacing w:line="278" w:lineRule="auto"/>
        <w:ind w:left="720" w:firstLine="720"/>
      </w:pPr>
      <w:r>
        <w:t>Name:</w:t>
      </w:r>
      <w:r>
        <w:tab/>
        <w:t>Alec Yasinsac</w:t>
      </w:r>
      <w:r>
        <w:tab/>
      </w:r>
      <w:r>
        <w:tab/>
      </w:r>
      <w:r>
        <w:tab/>
      </w:r>
      <w:r>
        <w:tab/>
      </w:r>
      <w:r>
        <w:tab/>
      </w:r>
    </w:p>
    <w:p>
      <w:pPr>
        <w:spacing w:line="278" w:lineRule="auto"/>
      </w:pPr>
      <w:r>
        <w:tab/>
      </w:r>
      <w:r>
        <w:tab/>
        <w:t>Address:  University of South Alabama School of Computing</w:t>
      </w:r>
    </w:p>
    <w:p>
      <w:pPr>
        <w:tabs>
          <w:tab w:val="left" w:pos="2430"/>
        </w:tabs>
        <w:spacing w:line="278" w:lineRule="auto"/>
      </w:pPr>
      <w:r>
        <w:tab/>
        <w:t>Shelby Hall, Suite 2101</w:t>
      </w:r>
    </w:p>
    <w:p>
      <w:pPr>
        <w:tabs>
          <w:tab w:val="left" w:pos="2430"/>
        </w:tabs>
        <w:spacing w:line="278" w:lineRule="auto"/>
      </w:pPr>
      <w:r>
        <w:tab/>
        <w:t>150 Jaguar Drive</w:t>
      </w:r>
    </w:p>
    <w:p>
      <w:pPr>
        <w:tabs>
          <w:tab w:val="left" w:pos="2430"/>
        </w:tabs>
        <w:spacing w:line="278" w:lineRule="auto"/>
      </w:pPr>
      <w:r>
        <w:tab/>
        <w:t>Mobile, AL 36688</w:t>
      </w:r>
    </w:p>
    <w:p>
      <w:pPr>
        <w:spacing w:line="278" w:lineRule="auto"/>
      </w:pPr>
      <w:r>
        <w:tab/>
      </w:r>
      <w:r>
        <w:tab/>
        <w:t>Phone: 251-460-6390</w:t>
      </w:r>
    </w:p>
    <w:p>
      <w:pPr>
        <w:spacing w:line="278" w:lineRule="auto"/>
      </w:pPr>
      <w:r>
        <w:tab/>
      </w:r>
      <w:r>
        <w:tab/>
        <w:t>Responsibility within the Committee: Chair</w:t>
      </w:r>
    </w:p>
    <w:p>
      <w:pPr>
        <w:pStyle w:val="Heading9"/>
      </w:pPr>
      <w:r>
        <w:br w:type="page"/>
      </w:r>
      <w:bookmarkStart w:id="9" w:name="_Toc458876073"/>
      <w:r>
        <w:t>Appendix G</w:t>
      </w:r>
      <w:r>
        <w:br w:type="textWrapping" w:clear="all"/>
        <w:t>Voting Committee</w:t>
      </w:r>
      <w:bookmarkEnd w:id="9"/>
    </w:p>
    <w:p/>
    <w:p>
      <w:pPr>
        <w:spacing w:line="278" w:lineRule="auto"/>
        <w:jc w:val="center"/>
      </w:pPr>
      <w:r>
        <w:rPr>
          <w:b/>
        </w:rPr>
        <w:t>ANNUAL REPORT</w:t>
      </w:r>
    </w:p>
    <w:p>
      <w:pPr>
        <w:spacing w:line="278" w:lineRule="auto"/>
        <w:jc w:val="center"/>
        <w:rPr>
          <w:caps/>
        </w:rPr>
      </w:pPr>
      <w:proofErr w:type="gramStart"/>
      <w:r>
        <w:t>of</w:t>
      </w:r>
      <w:proofErr w:type="gramEnd"/>
      <w:r>
        <w:t xml:space="preserve"> the </w:t>
      </w:r>
      <w:r>
        <w:rPr>
          <w:caps/>
        </w:rPr>
        <w:t>Voting Committee</w:t>
      </w:r>
      <w:r>
        <w:t xml:space="preserve"> </w:t>
      </w:r>
      <w:r>
        <w:br w:type="textWrapping" w:clear="all"/>
        <w:t xml:space="preserve">of the </w:t>
      </w:r>
      <w:r>
        <w:rPr>
          <w:caps/>
        </w:rPr>
        <w:t>ACM U.S. Public Policy Council</w:t>
      </w:r>
    </w:p>
    <w:p>
      <w:pPr>
        <w:spacing w:line="278" w:lineRule="auto"/>
        <w:jc w:val="center"/>
      </w:pPr>
      <w:r>
        <w:t>For the Period:  July 1, 2015- June 30, 2016</w:t>
      </w:r>
    </w:p>
    <w:p>
      <w:pPr>
        <w:spacing w:line="278" w:lineRule="auto"/>
        <w:jc w:val="center"/>
      </w:pPr>
      <w:r>
        <w:t>Submitted by ___</w:t>
      </w:r>
      <w:r>
        <w:rPr>
          <w:u w:val="single"/>
        </w:rPr>
        <w:t xml:space="preserve">Juan Gilbert, Chair </w:t>
      </w:r>
      <w:r>
        <w:t>_____</w:t>
      </w:r>
    </w:p>
    <w:p>
      <w:pPr>
        <w:pStyle w:val="Heading1"/>
        <w:numPr>
          <w:ilvl w:val="0"/>
          <w:numId w:val="37"/>
        </w:numPr>
      </w:pPr>
      <w:r>
        <w:t>BASIC INFORMATION</w:t>
      </w:r>
    </w:p>
    <w:p>
      <w:pPr>
        <w:pStyle w:val="Heading2"/>
      </w:pPr>
      <w:r>
        <w:t>Voting Committee Members</w:t>
      </w:r>
    </w:p>
    <w:p>
      <w:pPr>
        <w:ind w:left="720"/>
      </w:pPr>
      <w:r>
        <w:t>Juan Gilbert (Chair)</w:t>
      </w:r>
    </w:p>
    <w:p>
      <w:pPr>
        <w:ind w:left="720"/>
      </w:pPr>
      <w:r>
        <w:t>Jason Baker</w:t>
      </w:r>
    </w:p>
    <w:p>
      <w:pPr>
        <w:ind w:left="720"/>
      </w:pPr>
      <w:r>
        <w:t>Jeremy Barksdale</w:t>
      </w:r>
    </w:p>
    <w:p>
      <w:pPr>
        <w:ind w:left="720"/>
      </w:pPr>
      <w:r>
        <w:t xml:space="preserve">Lillie Coney </w:t>
      </w:r>
    </w:p>
    <w:p>
      <w:pPr>
        <w:ind w:left="720"/>
      </w:pPr>
      <w:r>
        <w:t>David Dill</w:t>
      </w:r>
    </w:p>
    <w:p>
      <w:pPr>
        <w:ind w:left="720"/>
      </w:pPr>
      <w:r>
        <w:t>Dave Farber</w:t>
      </w:r>
    </w:p>
    <w:p>
      <w:pPr>
        <w:ind w:left="720"/>
      </w:pPr>
      <w:r>
        <w:t>Stuart Feldman</w:t>
      </w:r>
    </w:p>
    <w:p>
      <w:pPr>
        <w:ind w:left="720"/>
      </w:pPr>
      <w:r>
        <w:t>Thomas Gideon</w:t>
      </w:r>
    </w:p>
    <w:p>
      <w:pPr>
        <w:ind w:left="720"/>
      </w:pPr>
      <w:r>
        <w:t>Don Gotterbarn</w:t>
      </w:r>
    </w:p>
    <w:p>
      <w:pPr>
        <w:ind w:left="720"/>
      </w:pPr>
      <w:r>
        <w:t>Paul Jacobs</w:t>
      </w:r>
    </w:p>
    <w:p>
      <w:pPr>
        <w:ind w:left="720"/>
      </w:pPr>
      <w:r>
        <w:t>Douglas Jones</w:t>
      </w:r>
    </w:p>
    <w:p>
      <w:pPr>
        <w:ind w:left="720"/>
      </w:pPr>
      <w:proofErr w:type="spellStart"/>
      <w:r>
        <w:t>Cem</w:t>
      </w:r>
      <w:proofErr w:type="spellEnd"/>
      <w:r>
        <w:t xml:space="preserve"> </w:t>
      </w:r>
      <w:proofErr w:type="spellStart"/>
      <w:r>
        <w:t>Kaner</w:t>
      </w:r>
      <w:proofErr w:type="spellEnd"/>
    </w:p>
    <w:p>
      <w:pPr>
        <w:ind w:left="720"/>
      </w:pPr>
      <w:r>
        <w:t>Kim Lawson-Jenkins</w:t>
      </w:r>
    </w:p>
    <w:p>
      <w:pPr>
        <w:ind w:left="720"/>
      </w:pPr>
      <w:r>
        <w:t xml:space="preserve">Vince </w:t>
      </w:r>
      <w:proofErr w:type="spellStart"/>
      <w:r>
        <w:t>Lipsio</w:t>
      </w:r>
      <w:proofErr w:type="spellEnd"/>
    </w:p>
    <w:p>
      <w:pPr>
        <w:ind w:left="720"/>
      </w:pPr>
      <w:r>
        <w:t>Peter Neumann</w:t>
      </w:r>
    </w:p>
    <w:p>
      <w:pPr>
        <w:ind w:left="720"/>
      </w:pPr>
      <w:r>
        <w:t>Andy Oram</w:t>
      </w:r>
    </w:p>
    <w:p>
      <w:pPr>
        <w:ind w:left="720"/>
      </w:pPr>
      <w:r>
        <w:t>Ollie Smoot</w:t>
      </w:r>
    </w:p>
    <w:p>
      <w:pPr>
        <w:ind w:left="720"/>
      </w:pPr>
      <w:r>
        <w:t>David Wagner</w:t>
      </w:r>
    </w:p>
    <w:p>
      <w:pPr>
        <w:ind w:left="720"/>
      </w:pPr>
      <w:r>
        <w:t>David Wise</w:t>
      </w:r>
    </w:p>
    <w:p>
      <w:pPr>
        <w:ind w:left="720"/>
        <w:rPr>
          <w:i/>
        </w:rPr>
      </w:pPr>
      <w:proofErr w:type="gramStart"/>
      <w:r>
        <w:rPr>
          <w:i/>
        </w:rPr>
        <w:t>plus</w:t>
      </w:r>
      <w:proofErr w:type="gramEnd"/>
      <w:r>
        <w:rPr>
          <w:i/>
        </w:rPr>
        <w:t xml:space="preserve"> all members of the USACM Council</w:t>
      </w:r>
    </w:p>
    <w:p>
      <w:pPr>
        <w:pStyle w:val="Heading2"/>
      </w:pPr>
      <w:r>
        <w:t>Purpose of the Voting Committee</w:t>
      </w:r>
    </w:p>
    <w:p>
      <w:pPr>
        <w:ind w:left="720"/>
      </w:pPr>
      <w:r>
        <w:t>The Voting Committee focuses on the technologies associated with onsite and online voting and works to encourage policies that support the reliability, security, verifiability, and accessibility of public elections.</w:t>
      </w:r>
    </w:p>
    <w:p>
      <w:pPr>
        <w:pStyle w:val="Heading2"/>
      </w:pPr>
      <w:r>
        <w:t>Voting Committee Meetings</w:t>
      </w:r>
    </w:p>
    <w:p>
      <w:pPr>
        <w:tabs>
          <w:tab w:val="left" w:pos="432"/>
          <w:tab w:val="left" w:pos="720"/>
          <w:tab w:val="left" w:pos="1152"/>
          <w:tab w:val="left" w:pos="3744"/>
          <w:tab w:val="left" w:pos="6192"/>
        </w:tabs>
        <w:spacing w:line="278" w:lineRule="auto"/>
        <w:ind w:left="720"/>
      </w:pPr>
      <w:r>
        <w:t xml:space="preserve">All business is conducted via listserv discussions. </w:t>
      </w:r>
    </w:p>
    <w:p>
      <w:pPr>
        <w:pStyle w:val="Heading1"/>
      </w:pPr>
      <w:r>
        <w:t>PROJECT SUMMARY</w:t>
      </w:r>
    </w:p>
    <w:p>
      <w:pPr>
        <w:ind w:left="720"/>
        <w:rPr>
          <w:b/>
        </w:rPr>
      </w:pPr>
      <w:r>
        <w:rPr>
          <w:b/>
        </w:rPr>
        <w:t>Comments to the U.S. Copyright Office on Security Research Exemptions under the Digital Millennium Copyright Act</w:t>
      </w:r>
    </w:p>
    <w:p>
      <w:pPr>
        <w:tabs>
          <w:tab w:val="num" w:pos="2160"/>
        </w:tabs>
        <w:ind w:left="720"/>
      </w:pPr>
      <w:r>
        <w:t xml:space="preserve">The committee advised on USACM's comments to the U.S. Copyright Office in support of computer security research exemptions from the prohibition against circumvention </w:t>
      </w:r>
      <w:r>
        <w:rPr>
          <w:rStyle w:val="st"/>
        </w:rPr>
        <w:t xml:space="preserve">of technological measures protecting copyrighted works under the Digital Millennium Copyright Act (DMCA). Consistent with USACM's recommendations, the </w:t>
      </w:r>
      <w:r>
        <w:t>Library of Congress</w:t>
      </w:r>
      <w:r>
        <w:rPr>
          <w:rStyle w:val="st"/>
        </w:rPr>
        <w:t xml:space="preserve"> in October 2015 granted a t</w:t>
      </w:r>
      <w:r>
        <w:t xml:space="preserve">emporary exemption for security research on </w:t>
      </w:r>
      <w:r>
        <w:rPr>
          <w:bCs/>
        </w:rPr>
        <w:t>voting systems</w:t>
      </w:r>
      <w:r>
        <w:t xml:space="preserve">. </w:t>
      </w:r>
    </w:p>
    <w:p>
      <w:pPr>
        <w:pStyle w:val="Heading1"/>
      </w:pPr>
      <w:r>
        <w:t>Plans</w:t>
      </w:r>
    </w:p>
    <w:p>
      <w:pPr>
        <w:pStyle w:val="Heading2"/>
      </w:pPr>
      <w:r>
        <w:t>Proposed Projects</w:t>
      </w:r>
    </w:p>
    <w:p>
      <w:pPr>
        <w:ind w:left="720"/>
        <w:rPr>
          <w:b/>
          <w:color w:val="000000" w:themeColor="text1"/>
        </w:rPr>
      </w:pPr>
      <w:r>
        <w:rPr>
          <w:b/>
          <w:color w:val="000000" w:themeColor="text1"/>
        </w:rPr>
        <w:t>Federal Voluntary Voting System Guidelines</w:t>
      </w:r>
    </w:p>
    <w:p>
      <w:pPr>
        <w:ind w:left="720"/>
        <w:rPr>
          <w:color w:val="000000" w:themeColor="text1"/>
        </w:rPr>
      </w:pPr>
      <w:r>
        <w:rPr>
          <w:color w:val="000000" w:themeColor="text1"/>
        </w:rPr>
        <w:t xml:space="preserve">The committee will continue to monitor progress on revisions to the Voluntary Voting System Guidelines (VVSG). The guidelines are important for the reliability, accuracy, quality, accessibility, usability, security, and testing of electronic voting systems. The committee will look for opportunities to provide voting systems expertise to the U.S. Election Assistance Commission (EAC), the National Institute of Standards and Technology (NIST), other relevant government entities, and public advisory committees, such as the Technical Guidelines Development Committee. </w:t>
      </w:r>
    </w:p>
    <w:p/>
    <w:p>
      <w:pPr>
        <w:jc w:val="center"/>
        <w:rPr>
          <w:b/>
        </w:rPr>
      </w:pPr>
      <w:r>
        <w:rPr>
          <w:b/>
        </w:rPr>
        <w:t>VOTING COMMITTEE APPENDIX</w:t>
      </w:r>
    </w:p>
    <w:p>
      <w:pPr>
        <w:spacing w:line="278" w:lineRule="auto"/>
        <w:ind w:left="720"/>
      </w:pPr>
    </w:p>
    <w:p>
      <w:pPr>
        <w:spacing w:line="278" w:lineRule="auto"/>
        <w:ind w:left="720"/>
      </w:pPr>
      <w:r>
        <w:t xml:space="preserve">Address list of all committee members and other persons responsible for projects. </w:t>
      </w:r>
    </w:p>
    <w:p>
      <w:pPr>
        <w:spacing w:line="278" w:lineRule="auto"/>
      </w:pPr>
    </w:p>
    <w:p>
      <w:pPr>
        <w:spacing w:line="278" w:lineRule="auto"/>
        <w:ind w:left="720" w:firstLine="720"/>
      </w:pPr>
      <w:r>
        <w:t>Name:</w:t>
      </w:r>
      <w:r>
        <w:tab/>
        <w:t>Juan Gilbert</w:t>
      </w:r>
      <w:r>
        <w:tab/>
      </w:r>
      <w:r>
        <w:tab/>
      </w:r>
      <w:r>
        <w:tab/>
      </w:r>
      <w:r>
        <w:tab/>
      </w:r>
      <w:r>
        <w:tab/>
      </w:r>
      <w:r>
        <w:tab/>
      </w:r>
    </w:p>
    <w:p>
      <w:pPr>
        <w:spacing w:line="278" w:lineRule="auto"/>
        <w:ind w:left="720"/>
      </w:pPr>
      <w:r>
        <w:tab/>
        <w:t>Address:  Computer &amp; Information Science &amp; Engineering Department</w:t>
      </w:r>
    </w:p>
    <w:p>
      <w:pPr>
        <w:spacing w:line="278" w:lineRule="auto"/>
        <w:ind w:left="2160" w:firstLine="270"/>
      </w:pPr>
      <w:r>
        <w:t>University of Florida</w:t>
      </w:r>
    </w:p>
    <w:p>
      <w:pPr>
        <w:spacing w:line="278" w:lineRule="auto"/>
        <w:ind w:left="2160" w:firstLine="270"/>
      </w:pPr>
      <w:r>
        <w:t>P.O. Box 116120</w:t>
      </w:r>
    </w:p>
    <w:p>
      <w:pPr>
        <w:spacing w:line="278" w:lineRule="auto"/>
        <w:ind w:left="2160" w:firstLine="270"/>
      </w:pPr>
      <w:r>
        <w:t>Gainesville, FL 32611</w:t>
      </w:r>
    </w:p>
    <w:p>
      <w:pPr>
        <w:spacing w:line="278" w:lineRule="auto"/>
        <w:ind w:left="720"/>
      </w:pPr>
      <w:r>
        <w:tab/>
        <w:t>Phone: 352-562-0784</w:t>
      </w:r>
    </w:p>
    <w:p>
      <w:pPr>
        <w:spacing w:line="278" w:lineRule="auto"/>
        <w:ind w:left="720"/>
      </w:pPr>
      <w:r>
        <w:tab/>
        <w:t xml:space="preserve">Responsibility within the Committee: Chair </w:t>
      </w:r>
    </w:p>
    <w:p>
      <w:pPr>
        <w:pStyle w:val="Heading9"/>
      </w:pPr>
      <w:r>
        <w:br w:type="page"/>
      </w:r>
      <w:bookmarkStart w:id="10" w:name="_Toc458876074"/>
      <w:r>
        <w:t>Appendix H</w:t>
      </w:r>
      <w:r>
        <w:br w:type="textWrapping" w:clear="all"/>
        <w:t>USACM Membership</w:t>
      </w:r>
      <w:bookmarkEnd w:id="10"/>
    </w:p>
    <w:p/>
    <w:p>
      <w:r>
        <w:t xml:space="preserve">USACM had a membership of 105 individuals. Information about current USACM members is available at: </w:t>
      </w:r>
      <w:hyperlink r:id="rId14" w:history="1">
        <w:r>
          <w:rPr>
            <w:rStyle w:val="Hyperlink"/>
          </w:rPr>
          <w:t>http://usacm.acm.org/members.cfm</w:t>
        </w:r>
      </w:hyperlink>
    </w:p>
    <w:p/>
    <w:p>
      <w:pPr>
        <w:ind w:left="720"/>
      </w:pPr>
      <w:r>
        <w:t>Eugene H. Spafford (Chair)</w:t>
      </w:r>
    </w:p>
    <w:p>
      <w:pPr>
        <w:ind w:left="720"/>
      </w:pPr>
      <w:r>
        <w:t>Stuart Shapiro (Co Vice-Chair)</w:t>
      </w:r>
    </w:p>
    <w:p>
      <w:pPr>
        <w:ind w:left="720"/>
      </w:pPr>
      <w:r>
        <w:t>Jeremy Epstein (Co Vice-Chair)</w:t>
      </w:r>
    </w:p>
    <w:p>
      <w:pPr>
        <w:ind w:left="720"/>
      </w:pPr>
      <w:r>
        <w:t>Annie Antón</w:t>
      </w:r>
    </w:p>
    <w:p>
      <w:pPr>
        <w:ind w:left="720"/>
      </w:pPr>
      <w:r>
        <w:t>Flo Appel</w:t>
      </w:r>
    </w:p>
    <w:p>
      <w:pPr>
        <w:ind w:left="720"/>
      </w:pPr>
      <w:r>
        <w:t>Jason Baker</w:t>
      </w:r>
    </w:p>
    <w:p>
      <w:pPr>
        <w:ind w:left="720"/>
      </w:pPr>
      <w:r>
        <w:t>Jeremy Barksdale</w:t>
      </w:r>
    </w:p>
    <w:p>
      <w:pPr>
        <w:ind w:left="720"/>
      </w:pPr>
      <w:r>
        <w:t xml:space="preserve">Ben </w:t>
      </w:r>
      <w:proofErr w:type="spellStart"/>
      <w:r>
        <w:t>Bederson</w:t>
      </w:r>
      <w:proofErr w:type="spellEnd"/>
    </w:p>
    <w:p>
      <w:pPr>
        <w:ind w:left="720"/>
      </w:pPr>
      <w:r>
        <w:t>Steve Bellovin</w:t>
      </w:r>
    </w:p>
    <w:p>
      <w:pPr>
        <w:ind w:left="720"/>
      </w:pPr>
      <w:r>
        <w:t>Travis Breaux</w:t>
      </w:r>
    </w:p>
    <w:p>
      <w:pPr>
        <w:ind w:left="720"/>
      </w:pPr>
      <w:r>
        <w:t>Chris Bronk</w:t>
      </w:r>
    </w:p>
    <w:p>
      <w:pPr>
        <w:ind w:left="720"/>
      </w:pPr>
      <w:r>
        <w:t>Charles Brownstein</w:t>
      </w:r>
    </w:p>
    <w:p>
      <w:pPr>
        <w:ind w:left="720"/>
      </w:pPr>
      <w:r>
        <w:t>Eric Burger</w:t>
      </w:r>
    </w:p>
    <w:p>
      <w:pPr>
        <w:ind w:left="720"/>
      </w:pPr>
      <w:r>
        <w:t>Jean Camp</w:t>
      </w:r>
    </w:p>
    <w:p>
      <w:pPr>
        <w:ind w:left="720"/>
      </w:pPr>
      <w:r>
        <w:t>Vint Cerf</w:t>
      </w:r>
    </w:p>
    <w:p>
      <w:pPr>
        <w:ind w:left="720"/>
      </w:pPr>
      <w:r>
        <w:t>Steve Cherry</w:t>
      </w:r>
    </w:p>
    <w:p>
      <w:pPr>
        <w:ind w:left="720"/>
      </w:pPr>
      <w:r>
        <w:t>Sunny Choi</w:t>
      </w:r>
    </w:p>
    <w:p>
      <w:pPr>
        <w:ind w:left="720"/>
      </w:pPr>
      <w:r>
        <w:t>Geoff Cohen</w:t>
      </w:r>
    </w:p>
    <w:p>
      <w:pPr>
        <w:ind w:left="720"/>
      </w:pPr>
      <w:r>
        <w:t xml:space="preserve">James </w:t>
      </w:r>
      <w:proofErr w:type="spellStart"/>
      <w:r>
        <w:t>Cohoon</w:t>
      </w:r>
      <w:proofErr w:type="spellEnd"/>
    </w:p>
    <w:p>
      <w:pPr>
        <w:ind w:left="720"/>
      </w:pPr>
      <w:r>
        <w:t>Lillie Coney</w:t>
      </w:r>
    </w:p>
    <w:p>
      <w:pPr>
        <w:ind w:left="720"/>
      </w:pPr>
      <w:r>
        <w:t xml:space="preserve">Lorrie </w:t>
      </w:r>
      <w:proofErr w:type="spellStart"/>
      <w:r>
        <w:t>Cranor</w:t>
      </w:r>
      <w:proofErr w:type="spellEnd"/>
    </w:p>
    <w:p>
      <w:pPr>
        <w:ind w:left="720"/>
      </w:pPr>
      <w:r>
        <w:t>Brian Dean</w:t>
      </w:r>
    </w:p>
    <w:p>
      <w:pPr>
        <w:ind w:left="720"/>
      </w:pPr>
      <w:r>
        <w:t>David Dill</w:t>
      </w:r>
    </w:p>
    <w:p>
      <w:pPr>
        <w:ind w:left="720"/>
      </w:pPr>
      <w:r>
        <w:t xml:space="preserve">William </w:t>
      </w:r>
      <w:proofErr w:type="spellStart"/>
      <w:r>
        <w:t>Doane</w:t>
      </w:r>
      <w:proofErr w:type="spellEnd"/>
    </w:p>
    <w:p>
      <w:pPr>
        <w:ind w:left="720"/>
      </w:pPr>
      <w:r>
        <w:t>Cory Doctorow</w:t>
      </w:r>
    </w:p>
    <w:p>
      <w:pPr>
        <w:ind w:left="720"/>
      </w:pPr>
      <w:r>
        <w:t>Julie Earp</w:t>
      </w:r>
    </w:p>
    <w:p>
      <w:pPr>
        <w:ind w:left="720"/>
      </w:pPr>
      <w:r>
        <w:t>Dave Farber</w:t>
      </w:r>
    </w:p>
    <w:p>
      <w:pPr>
        <w:ind w:left="720"/>
      </w:pPr>
      <w:r>
        <w:t>Nick Feamster</w:t>
      </w:r>
    </w:p>
    <w:p>
      <w:pPr>
        <w:ind w:left="720"/>
      </w:pPr>
      <w:r>
        <w:t>Stuart Feldman</w:t>
      </w:r>
    </w:p>
    <w:p>
      <w:pPr>
        <w:ind w:left="720"/>
      </w:pPr>
      <w:r>
        <w:t xml:space="preserve">Mark </w:t>
      </w:r>
      <w:proofErr w:type="spellStart"/>
      <w:r>
        <w:t>Ferneau</w:t>
      </w:r>
      <w:proofErr w:type="spellEnd"/>
    </w:p>
    <w:p>
      <w:pPr>
        <w:ind w:left="720"/>
      </w:pPr>
      <w:r>
        <w:t>Miles Fidelman</w:t>
      </w:r>
    </w:p>
    <w:p>
      <w:pPr>
        <w:ind w:left="720"/>
      </w:pPr>
      <w:r>
        <w:t>Simson Garfinkel</w:t>
      </w:r>
    </w:p>
    <w:p>
      <w:pPr>
        <w:ind w:left="720"/>
      </w:pPr>
      <w:r>
        <w:t>Thomas Gideon</w:t>
      </w:r>
    </w:p>
    <w:p>
      <w:pPr>
        <w:ind w:left="720"/>
      </w:pPr>
      <w:r>
        <w:t>Juan Gilbert</w:t>
      </w:r>
    </w:p>
    <w:p>
      <w:pPr>
        <w:ind w:left="720"/>
      </w:pPr>
      <w:r>
        <w:t>Seymour Goodman</w:t>
      </w:r>
    </w:p>
    <w:p>
      <w:pPr>
        <w:ind w:left="720"/>
      </w:pPr>
      <w:r>
        <w:t>David Gordon</w:t>
      </w:r>
    </w:p>
    <w:p>
      <w:pPr>
        <w:ind w:left="720"/>
      </w:pPr>
      <w:r>
        <w:t>Don Gotterbarn</w:t>
      </w:r>
    </w:p>
    <w:p>
      <w:pPr>
        <w:ind w:left="720"/>
      </w:pPr>
      <w:r>
        <w:t>Sarah Granger</w:t>
      </w:r>
    </w:p>
    <w:p>
      <w:pPr>
        <w:ind w:left="720"/>
      </w:pPr>
      <w:r>
        <w:t xml:space="preserve">James </w:t>
      </w:r>
      <w:proofErr w:type="spellStart"/>
      <w:r>
        <w:t>Grimmelmann</w:t>
      </w:r>
      <w:proofErr w:type="spellEnd"/>
    </w:p>
    <w:p>
      <w:pPr>
        <w:ind w:left="720"/>
      </w:pPr>
      <w:r>
        <w:t>Andrew Grosso</w:t>
      </w:r>
    </w:p>
    <w:p>
      <w:pPr>
        <w:ind w:left="720"/>
      </w:pPr>
      <w:r>
        <w:t>Alex Gyori</w:t>
      </w:r>
    </w:p>
    <w:p>
      <w:pPr>
        <w:ind w:left="720"/>
      </w:pPr>
      <w:r>
        <w:t>Mark P. Hahn</w:t>
      </w:r>
    </w:p>
    <w:p>
      <w:pPr>
        <w:ind w:left="720"/>
      </w:pPr>
      <w:r>
        <w:t>Barb Helfer</w:t>
      </w:r>
    </w:p>
    <w:p>
      <w:pPr>
        <w:ind w:left="720"/>
      </w:pPr>
      <w:r>
        <w:t>Jim Hendler</w:t>
      </w:r>
    </w:p>
    <w:p>
      <w:pPr>
        <w:ind w:left="720"/>
      </w:pPr>
      <w:r>
        <w:t>Rebecca Herold</w:t>
      </w:r>
    </w:p>
    <w:p>
      <w:pPr>
        <w:ind w:left="720"/>
      </w:pPr>
      <w:r>
        <w:t>Harry Hochheiser</w:t>
      </w:r>
    </w:p>
    <w:p>
      <w:pPr>
        <w:ind w:left="720"/>
      </w:pPr>
      <w:r>
        <w:t>Lance Hoffman</w:t>
      </w:r>
    </w:p>
    <w:p>
      <w:pPr>
        <w:ind w:left="720"/>
      </w:pPr>
      <w:r>
        <w:t>Lee Hollaar</w:t>
      </w:r>
    </w:p>
    <w:p>
      <w:pPr>
        <w:ind w:left="720"/>
      </w:pPr>
      <w:r>
        <w:t xml:space="preserve">Juan Pablo </w:t>
      </w:r>
      <w:proofErr w:type="spellStart"/>
      <w:r>
        <w:t>Hourcade</w:t>
      </w:r>
      <w:proofErr w:type="spellEnd"/>
    </w:p>
    <w:p>
      <w:pPr>
        <w:ind w:left="720"/>
      </w:pPr>
      <w:r>
        <w:t>Chuck House</w:t>
      </w:r>
    </w:p>
    <w:p>
      <w:pPr>
        <w:ind w:left="720"/>
      </w:pPr>
      <w:r>
        <w:t>Paul Hyland</w:t>
      </w:r>
    </w:p>
    <w:p>
      <w:pPr>
        <w:ind w:left="720"/>
      </w:pPr>
      <w:r>
        <w:t>Ron Jarvis</w:t>
      </w:r>
    </w:p>
    <w:p>
      <w:pPr>
        <w:ind w:left="720"/>
      </w:pPr>
      <w:r>
        <w:t>Paul Jacobs</w:t>
      </w:r>
    </w:p>
    <w:p>
      <w:pPr>
        <w:ind w:left="720"/>
      </w:pPr>
      <w:r>
        <w:t>Maritza Johnson</w:t>
      </w:r>
    </w:p>
    <w:p>
      <w:pPr>
        <w:ind w:left="720"/>
      </w:pPr>
      <w:r>
        <w:t>Douglas W. Jones</w:t>
      </w:r>
    </w:p>
    <w:p>
      <w:pPr>
        <w:ind w:left="720"/>
      </w:pPr>
      <w:r>
        <w:t xml:space="preserve">Meg </w:t>
      </w:r>
      <w:proofErr w:type="spellStart"/>
      <w:r>
        <w:t>Leta</w:t>
      </w:r>
      <w:proofErr w:type="spellEnd"/>
      <w:r>
        <w:t xml:space="preserve"> Jones</w:t>
      </w:r>
    </w:p>
    <w:p>
      <w:pPr>
        <w:ind w:left="720"/>
      </w:pPr>
      <w:proofErr w:type="spellStart"/>
      <w:r>
        <w:t>Cem</w:t>
      </w:r>
      <w:proofErr w:type="spellEnd"/>
      <w:r>
        <w:t xml:space="preserve"> </w:t>
      </w:r>
      <w:proofErr w:type="spellStart"/>
      <w:r>
        <w:t>Kaner</w:t>
      </w:r>
      <w:proofErr w:type="spellEnd"/>
    </w:p>
    <w:p>
      <w:pPr>
        <w:ind w:left="720"/>
      </w:pPr>
      <w:r>
        <w:t>Patrick Kelly</w:t>
      </w:r>
    </w:p>
    <w:p>
      <w:pPr>
        <w:ind w:left="720"/>
      </w:pPr>
      <w:r>
        <w:t>Lorraine Kisselburgh</w:t>
      </w:r>
    </w:p>
    <w:p>
      <w:pPr>
        <w:ind w:left="720"/>
      </w:pPr>
      <w:r>
        <w:t>Kim Lawson-Jenkins</w:t>
      </w:r>
    </w:p>
    <w:p>
      <w:pPr>
        <w:ind w:left="720"/>
      </w:pPr>
      <w:r>
        <w:t>Jonathan Lazar</w:t>
      </w:r>
    </w:p>
    <w:p>
      <w:pPr>
        <w:ind w:left="720"/>
      </w:pPr>
      <w:r>
        <w:t>Clayton Lewis</w:t>
      </w:r>
    </w:p>
    <w:p>
      <w:pPr>
        <w:ind w:left="720"/>
      </w:pPr>
      <w:r>
        <w:t>Samuel Liles</w:t>
      </w:r>
    </w:p>
    <w:p>
      <w:pPr>
        <w:ind w:left="720"/>
      </w:pPr>
      <w:r>
        <w:t>Aaron Massey</w:t>
      </w:r>
    </w:p>
    <w:p>
      <w:pPr>
        <w:ind w:left="720"/>
      </w:pPr>
      <w:r>
        <w:t>Jeanna Matthews</w:t>
      </w:r>
    </w:p>
    <w:p>
      <w:pPr>
        <w:ind w:left="720"/>
      </w:pPr>
      <w:r>
        <w:t>Lynette Millett</w:t>
      </w:r>
    </w:p>
    <w:p>
      <w:pPr>
        <w:ind w:left="720"/>
      </w:pPr>
      <w:r>
        <w:t>James Moody</w:t>
      </w:r>
    </w:p>
    <w:p>
      <w:pPr>
        <w:ind w:left="720"/>
      </w:pPr>
      <w:r>
        <w:t>Sam Morales</w:t>
      </w:r>
    </w:p>
    <w:p>
      <w:pPr>
        <w:ind w:left="720"/>
      </w:pPr>
      <w:r>
        <w:t>John Murray</w:t>
      </w:r>
    </w:p>
    <w:p>
      <w:pPr>
        <w:ind w:left="720"/>
      </w:pPr>
      <w:r>
        <w:t>Peter G. Neumann</w:t>
      </w:r>
    </w:p>
    <w:p>
      <w:pPr>
        <w:ind w:left="720"/>
      </w:pPr>
      <w:r>
        <w:t>Andy Oram</w:t>
      </w:r>
    </w:p>
    <w:p>
      <w:pPr>
        <w:ind w:left="720"/>
      </w:pPr>
      <w:r>
        <w:t>Paul Otto</w:t>
      </w:r>
    </w:p>
    <w:p>
      <w:pPr>
        <w:ind w:left="720"/>
      </w:pPr>
      <w:r>
        <w:t>Barbara Owens</w:t>
      </w:r>
    </w:p>
    <w:p>
      <w:pPr>
        <w:ind w:left="720"/>
      </w:pPr>
      <w:r>
        <w:t>Garry Paxinos</w:t>
      </w:r>
    </w:p>
    <w:p>
      <w:pPr>
        <w:ind w:left="720"/>
      </w:pPr>
      <w:r>
        <w:t xml:space="preserve">Jon </w:t>
      </w:r>
      <w:proofErr w:type="spellStart"/>
      <w:r>
        <w:t>Peha</w:t>
      </w:r>
      <w:proofErr w:type="spellEnd"/>
    </w:p>
    <w:p>
      <w:pPr>
        <w:ind w:left="720"/>
      </w:pPr>
      <w:r>
        <w:t>Erika Poole</w:t>
      </w:r>
    </w:p>
    <w:p>
      <w:pPr>
        <w:ind w:left="720"/>
      </w:pPr>
      <w:r>
        <w:t>Mark Rasch</w:t>
      </w:r>
    </w:p>
    <w:p>
      <w:pPr>
        <w:ind w:left="720"/>
      </w:pPr>
      <w:r>
        <w:t>Alan Rea</w:t>
      </w:r>
    </w:p>
    <w:p>
      <w:pPr>
        <w:ind w:left="720"/>
      </w:pPr>
      <w:r>
        <w:t>Jennifer Rexford</w:t>
      </w:r>
    </w:p>
    <w:p>
      <w:pPr>
        <w:ind w:left="720"/>
      </w:pPr>
      <w:r>
        <w:t>Chris Roberts</w:t>
      </w:r>
    </w:p>
    <w:p>
      <w:pPr>
        <w:ind w:left="720"/>
      </w:pPr>
      <w:r>
        <w:t>David Robinson</w:t>
      </w:r>
    </w:p>
    <w:p>
      <w:pPr>
        <w:ind w:left="720"/>
      </w:pPr>
      <w:r>
        <w:t>Arnon Rosenthal</w:t>
      </w:r>
    </w:p>
    <w:p>
      <w:pPr>
        <w:ind w:left="720"/>
      </w:pPr>
      <w:r>
        <w:t>George Roussos</w:t>
      </w:r>
    </w:p>
    <w:p>
      <w:pPr>
        <w:ind w:left="720"/>
      </w:pPr>
      <w:r>
        <w:t xml:space="preserve">Anthony S. </w:t>
      </w:r>
      <w:proofErr w:type="spellStart"/>
      <w:r>
        <w:t>Ruocco</w:t>
      </w:r>
      <w:proofErr w:type="spellEnd"/>
    </w:p>
    <w:p>
      <w:pPr>
        <w:ind w:left="720"/>
      </w:pPr>
      <w:r>
        <w:t>Pam Samuelson</w:t>
      </w:r>
    </w:p>
    <w:p>
      <w:pPr>
        <w:ind w:left="720"/>
      </w:pPr>
      <w:r>
        <w:t>Curtis Sawyer</w:t>
      </w:r>
    </w:p>
    <w:p>
      <w:pPr>
        <w:ind w:left="720"/>
      </w:pPr>
      <w:r>
        <w:t>Ari Schlesinger</w:t>
      </w:r>
    </w:p>
    <w:p>
      <w:pPr>
        <w:ind w:left="720"/>
      </w:pPr>
      <w:r>
        <w:t>Fred Schneider</w:t>
      </w:r>
    </w:p>
    <w:p>
      <w:pPr>
        <w:ind w:left="720"/>
      </w:pPr>
      <w:r>
        <w:t>Andrew Sears</w:t>
      </w:r>
    </w:p>
    <w:p>
      <w:pPr>
        <w:ind w:left="720"/>
      </w:pPr>
      <w:r>
        <w:t xml:space="preserve">Ben </w:t>
      </w:r>
      <w:proofErr w:type="spellStart"/>
      <w:r>
        <w:t>Shneiderman</w:t>
      </w:r>
      <w:proofErr w:type="spellEnd"/>
    </w:p>
    <w:p>
      <w:pPr>
        <w:ind w:left="720"/>
      </w:pPr>
      <w:r>
        <w:t>Doug Schuler</w:t>
      </w:r>
    </w:p>
    <w:p>
      <w:pPr>
        <w:ind w:left="720"/>
      </w:pPr>
      <w:r>
        <w:t>Barbara Simons</w:t>
      </w:r>
    </w:p>
    <w:p>
      <w:pPr>
        <w:ind w:left="720"/>
      </w:pPr>
      <w:r>
        <w:t>Jonathan M. Smith</w:t>
      </w:r>
    </w:p>
    <w:p>
      <w:pPr>
        <w:ind w:left="720"/>
      </w:pPr>
      <w:r>
        <w:t>Ollie Smoot</w:t>
      </w:r>
    </w:p>
    <w:p>
      <w:pPr>
        <w:ind w:left="720"/>
      </w:pPr>
      <w:r>
        <w:t>Jim Thatcher</w:t>
      </w:r>
    </w:p>
    <w:p>
      <w:pPr>
        <w:ind w:left="720"/>
      </w:pPr>
      <w:proofErr w:type="spellStart"/>
      <w:r>
        <w:t>Bhavani</w:t>
      </w:r>
      <w:proofErr w:type="spellEnd"/>
      <w:r>
        <w:t xml:space="preserve"> Thuraisingham</w:t>
      </w:r>
    </w:p>
    <w:p>
      <w:pPr>
        <w:ind w:left="720"/>
      </w:pPr>
      <w:r>
        <w:t xml:space="preserve">Patrick </w:t>
      </w:r>
      <w:proofErr w:type="spellStart"/>
      <w:r>
        <w:t>Traynor</w:t>
      </w:r>
      <w:proofErr w:type="spellEnd"/>
    </w:p>
    <w:p>
      <w:pPr>
        <w:ind w:left="720"/>
      </w:pPr>
      <w:r>
        <w:t>Lorenzo Valeri</w:t>
      </w:r>
    </w:p>
    <w:p>
      <w:pPr>
        <w:ind w:left="720"/>
      </w:pPr>
      <w:r>
        <w:t>Emil Volcheck</w:t>
      </w:r>
    </w:p>
    <w:p>
      <w:pPr>
        <w:ind w:left="720"/>
      </w:pPr>
      <w:r>
        <w:t>David Wagner</w:t>
      </w:r>
    </w:p>
    <w:p>
      <w:pPr>
        <w:ind w:left="720"/>
      </w:pPr>
      <w:r>
        <w:t>David Wise</w:t>
      </w:r>
    </w:p>
    <w:p>
      <w:pPr>
        <w:ind w:left="720"/>
      </w:pPr>
      <w:r>
        <w:t>Tao Xie</w:t>
      </w:r>
    </w:p>
    <w:p>
      <w:pPr>
        <w:ind w:left="720"/>
      </w:pPr>
      <w:r>
        <w:t>Alec Yasinsac</w:t>
      </w:r>
    </w:p>
    <w:p>
      <w:pPr>
        <w:ind w:left="720"/>
      </w:pPr>
      <w:r>
        <w:t>Jessica Young</w:t>
      </w:r>
    </w:p>
    <w:p>
      <w:pPr>
        <w:ind w:left="720"/>
      </w:pPr>
      <w:r>
        <w:t xml:space="preserve">Stuart </w:t>
      </w:r>
      <w:proofErr w:type="spellStart"/>
      <w:r>
        <w:t>Zweben</w:t>
      </w:r>
      <w:proofErr w:type="spellEnd"/>
    </w:p>
    <w:p>
      <w:pPr>
        <w:ind w:left="720"/>
      </w:pPr>
    </w:p>
    <w:sectPr>
      <w:footnotePr>
        <w:numFmt w:val="chicago"/>
      </w:footnotePr>
      <w:pgSz w:w="12240" w:h="15840"/>
      <w:pgMar w:top="2160" w:right="1440" w:bottom="1440" w:left="144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3978"/>
      <w:gridCol w:w="3291"/>
      <w:gridCol w:w="2289"/>
    </w:tblGrid>
    <w:tr>
      <w:tc>
        <w:tcPr>
          <w:tcW w:w="3978" w:type="dxa"/>
        </w:tcPr>
        <w:p>
          <w:pPr>
            <w:widowControl w:val="0"/>
            <w:tabs>
              <w:tab w:val="num" w:pos="0"/>
              <w:tab w:val="center" w:pos="3960"/>
              <w:tab w:val="right" w:pos="8640"/>
            </w:tabs>
            <w:autoSpaceDE w:val="0"/>
            <w:autoSpaceDN w:val="0"/>
            <w:adjustRightInd w:val="0"/>
            <w:rPr>
              <w:rFonts w:ascii="Calibri" w:hAnsi="Calibri"/>
              <w:color w:val="0F90DF"/>
              <w:sz w:val="20"/>
              <w:szCs w:val="20"/>
            </w:rPr>
          </w:pPr>
          <w:r>
            <w:rPr>
              <w:rFonts w:ascii="Calibri" w:hAnsi="Calibri"/>
              <w:color w:val="0F90DF"/>
              <w:sz w:val="20"/>
            </w:rPr>
            <w:t>ACM US Public Policy Council (USACM)</w:t>
          </w:r>
        </w:p>
        <w:p>
          <w:pPr>
            <w:widowControl w:val="0"/>
            <w:tabs>
              <w:tab w:val="num" w:pos="0"/>
              <w:tab w:val="center" w:pos="4320"/>
              <w:tab w:val="right" w:pos="8640"/>
            </w:tabs>
            <w:autoSpaceDE w:val="0"/>
            <w:autoSpaceDN w:val="0"/>
            <w:adjustRightInd w:val="0"/>
            <w:rPr>
              <w:rFonts w:ascii="Calibri" w:hAnsi="Calibri"/>
              <w:color w:val="0F90DF"/>
              <w:sz w:val="20"/>
              <w:szCs w:val="20"/>
            </w:rPr>
          </w:pPr>
          <w:r>
            <w:rPr>
              <w:rFonts w:ascii="Calibri" w:hAnsi="Calibri"/>
              <w:color w:val="0F90DF"/>
              <w:sz w:val="20"/>
              <w:szCs w:val="20"/>
            </w:rPr>
            <w:t>1701 Pennsylvania Ave. NW, #300</w:t>
          </w:r>
        </w:p>
        <w:p>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Washington, DC 20006</w:t>
          </w:r>
        </w:p>
      </w:tc>
      <w:tc>
        <w:tcPr>
          <w:tcW w:w="3291" w:type="dxa"/>
        </w:tcPr>
        <w:p>
          <w:pPr>
            <w:widowControl w:val="0"/>
            <w:tabs>
              <w:tab w:val="center" w:pos="-5160"/>
              <w:tab w:val="num" w:pos="342"/>
              <w:tab w:val="right" w:pos="8640"/>
            </w:tabs>
            <w:autoSpaceDE w:val="0"/>
            <w:autoSpaceDN w:val="0"/>
            <w:adjustRightInd w:val="0"/>
            <w:ind w:left="342" w:hanging="360"/>
            <w:jc w:val="center"/>
            <w:rPr>
              <w:rFonts w:ascii="Calibri" w:hAnsi="Calibri"/>
              <w:color w:val="0F90DF"/>
              <w:sz w:val="20"/>
              <w:szCs w:val="20"/>
            </w:rPr>
          </w:pPr>
          <w:r>
            <w:rPr>
              <w:rFonts w:ascii="Calibri" w:hAnsi="Calibri"/>
              <w:color w:val="0F90DF"/>
              <w:sz w:val="20"/>
              <w:szCs w:val="20"/>
            </w:rPr>
            <w:t>Tel:  +1-212-626-0541</w:t>
          </w:r>
        </w:p>
        <w:p>
          <w:pPr>
            <w:widowControl w:val="0"/>
            <w:tabs>
              <w:tab w:val="center" w:pos="-5160"/>
              <w:tab w:val="num" w:pos="342"/>
              <w:tab w:val="right" w:pos="8640"/>
            </w:tabs>
            <w:autoSpaceDE w:val="0"/>
            <w:autoSpaceDN w:val="0"/>
            <w:adjustRightInd w:val="0"/>
            <w:ind w:left="342" w:hanging="360"/>
            <w:jc w:val="center"/>
            <w:rPr>
              <w:rFonts w:ascii="Calibri" w:hAnsi="Calibri"/>
              <w:color w:val="0F90DF"/>
              <w:kern w:val="1"/>
              <w:sz w:val="20"/>
              <w:szCs w:val="20"/>
            </w:rPr>
          </w:pPr>
        </w:p>
      </w:tc>
      <w:tc>
        <w:tcPr>
          <w:tcW w:w="2289" w:type="dxa"/>
        </w:tcPr>
        <w:p>
          <w:pPr>
            <w:widowControl w:val="0"/>
            <w:tabs>
              <w:tab w:val="num" w:pos="21"/>
              <w:tab w:val="right" w:pos="3135"/>
              <w:tab w:val="center" w:pos="4320"/>
              <w:tab w:val="right" w:pos="8640"/>
            </w:tabs>
            <w:autoSpaceDE w:val="0"/>
            <w:autoSpaceDN w:val="0"/>
            <w:adjustRightInd w:val="0"/>
            <w:ind w:left="21"/>
            <w:jc w:val="right"/>
            <w:rPr>
              <w:rFonts w:ascii="Calibri" w:hAnsi="Calibri"/>
              <w:color w:val="0F90DF"/>
              <w:sz w:val="20"/>
              <w:szCs w:val="20"/>
              <w:u w:color="000099"/>
            </w:rPr>
          </w:pPr>
          <w:hyperlink r:id="rId1" w:history="1">
            <w:r>
              <w:rPr>
                <w:rStyle w:val="Hyperlink"/>
                <w:rFonts w:ascii="Calibri" w:hAnsi="Calibri"/>
                <w:color w:val="0F90DF"/>
                <w:sz w:val="20"/>
                <w:szCs w:val="20"/>
                <w:u w:val="none" w:color="000099"/>
              </w:rPr>
              <w:t>acmpo@acm.org</w:t>
            </w:r>
          </w:hyperlink>
        </w:p>
        <w:p>
          <w:pPr>
            <w:widowControl w:val="0"/>
            <w:tabs>
              <w:tab w:val="num" w:pos="21"/>
              <w:tab w:val="center" w:pos="4320"/>
              <w:tab w:val="left" w:pos="5241"/>
              <w:tab w:val="right" w:pos="8640"/>
            </w:tabs>
            <w:autoSpaceDE w:val="0"/>
            <w:autoSpaceDN w:val="0"/>
            <w:adjustRightInd w:val="0"/>
            <w:ind w:left="21"/>
            <w:jc w:val="right"/>
            <w:rPr>
              <w:rFonts w:ascii="Calibri" w:hAnsi="Calibri"/>
              <w:color w:val="0F90DF"/>
              <w:sz w:val="20"/>
              <w:szCs w:val="20"/>
            </w:rPr>
          </w:pPr>
          <w:hyperlink r:id="rId2" w:history="1">
            <w:r>
              <w:rPr>
                <w:rStyle w:val="Hyperlink"/>
                <w:rFonts w:ascii="Calibri" w:hAnsi="Calibri"/>
                <w:color w:val="0F90DF"/>
                <w:sz w:val="20"/>
                <w:szCs w:val="20"/>
                <w:u w:val="none" w:color="000099"/>
              </w:rPr>
              <w:t>usacm.acm.org</w:t>
            </w:r>
          </w:hyperlink>
        </w:p>
      </w:tc>
    </w:tr>
  </w:tbl>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3978"/>
      <w:gridCol w:w="3291"/>
      <w:gridCol w:w="2289"/>
    </w:tblGrid>
    <w:tr>
      <w:trPr>
        <w:trHeight w:val="630"/>
      </w:trPr>
      <w:tc>
        <w:tcPr>
          <w:tcW w:w="3978" w:type="dxa"/>
        </w:tcPr>
        <w:p>
          <w:pPr>
            <w:widowControl w:val="0"/>
            <w:tabs>
              <w:tab w:val="num" w:pos="0"/>
              <w:tab w:val="center" w:pos="3960"/>
              <w:tab w:val="right" w:pos="8640"/>
            </w:tabs>
            <w:autoSpaceDE w:val="0"/>
            <w:autoSpaceDN w:val="0"/>
            <w:adjustRightInd w:val="0"/>
            <w:spacing w:before="240"/>
            <w:rPr>
              <w:rFonts w:ascii="Calibri" w:hAnsi="Calibri"/>
              <w:color w:val="0F90DF"/>
              <w:sz w:val="20"/>
              <w:szCs w:val="20"/>
            </w:rPr>
          </w:pPr>
          <w:r>
            <w:rPr>
              <w:rFonts w:ascii="Calibri" w:hAnsi="Calibri"/>
              <w:color w:val="0F90DF"/>
              <w:sz w:val="20"/>
            </w:rPr>
            <w:t>ACM US Public Policy Council (USACM)</w:t>
          </w:r>
        </w:p>
        <w:p>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FY 2016 Annual Report</w:t>
          </w:r>
        </w:p>
      </w:tc>
      <w:tc>
        <w:tcPr>
          <w:tcW w:w="3291" w:type="dxa"/>
        </w:tcPr>
        <w:p>
          <w:pPr>
            <w:widowControl w:val="0"/>
            <w:tabs>
              <w:tab w:val="center" w:pos="-5160"/>
              <w:tab w:val="num" w:pos="342"/>
              <w:tab w:val="right" w:pos="8640"/>
            </w:tabs>
            <w:autoSpaceDE w:val="0"/>
            <w:autoSpaceDN w:val="0"/>
            <w:adjustRightInd w:val="0"/>
            <w:spacing w:before="240"/>
            <w:ind w:left="346" w:hanging="360"/>
            <w:jc w:val="center"/>
            <w:rPr>
              <w:color w:val="0070C0"/>
              <w:kern w:val="1"/>
            </w:rPr>
          </w:pPr>
          <w:r>
            <w:rPr>
              <w:color w:val="0070C0"/>
              <w:kern w:val="1"/>
            </w:rPr>
            <w:fldChar w:fldCharType="begin"/>
          </w:r>
          <w:r>
            <w:rPr>
              <w:color w:val="0070C0"/>
              <w:kern w:val="1"/>
            </w:rPr>
            <w:instrText xml:space="preserve"> PAGE   \* MERGEFORMAT </w:instrText>
          </w:r>
          <w:r>
            <w:rPr>
              <w:color w:val="0070C0"/>
              <w:kern w:val="1"/>
            </w:rPr>
            <w:fldChar w:fldCharType="separate"/>
          </w:r>
          <w:r>
            <w:rPr>
              <w:noProof/>
              <w:color w:val="0070C0"/>
              <w:kern w:val="1"/>
            </w:rPr>
            <w:t>13</w:t>
          </w:r>
          <w:r>
            <w:rPr>
              <w:color w:val="0070C0"/>
              <w:kern w:val="1"/>
            </w:rPr>
            <w:fldChar w:fldCharType="end"/>
          </w:r>
        </w:p>
      </w:tc>
      <w:tc>
        <w:tcPr>
          <w:tcW w:w="2289" w:type="dxa"/>
        </w:tcPr>
        <w:p>
          <w:pPr>
            <w:widowControl w:val="0"/>
            <w:tabs>
              <w:tab w:val="num" w:pos="21"/>
              <w:tab w:val="center" w:pos="4320"/>
              <w:tab w:val="left" w:pos="5241"/>
              <w:tab w:val="right" w:pos="8640"/>
            </w:tabs>
            <w:autoSpaceDE w:val="0"/>
            <w:autoSpaceDN w:val="0"/>
            <w:adjustRightInd w:val="0"/>
            <w:spacing w:before="240"/>
            <w:ind w:left="14"/>
            <w:jc w:val="right"/>
            <w:rPr>
              <w:rFonts w:ascii="Calibri" w:hAnsi="Calibri"/>
              <w:color w:val="0F90DF"/>
              <w:sz w:val="20"/>
              <w:szCs w:val="20"/>
            </w:rPr>
          </w:pPr>
          <w:hyperlink r:id="rId1" w:history="1">
            <w:r>
              <w:rPr>
                <w:rStyle w:val="Hyperlink"/>
                <w:rFonts w:ascii="Calibri" w:hAnsi="Calibri"/>
                <w:color w:val="0F90DF"/>
                <w:sz w:val="20"/>
                <w:szCs w:val="20"/>
                <w:u w:val="none" w:color="000099"/>
              </w:rPr>
              <w:t>usacm.acm.org</w:t>
            </w:r>
          </w:hyperlink>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left="-252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444500</wp:posOffset>
          </wp:positionV>
          <wp:extent cx="1866900" cy="7493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9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8C32A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024036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0D834F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1682A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1C614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3CFA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DF20E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6C5C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63D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1129226"/>
    <w:lvl w:ilvl="0">
      <w:start w:val="1"/>
      <w:numFmt w:val="bullet"/>
      <w:lvlText w:val=""/>
      <w:lvlJc w:val="left"/>
      <w:pPr>
        <w:tabs>
          <w:tab w:val="num" w:pos="360"/>
        </w:tabs>
        <w:ind w:left="360" w:hanging="360"/>
      </w:pPr>
      <w:rPr>
        <w:rFonts w:ascii="Symbol" w:hAnsi="Symbol" w:hint="default"/>
      </w:rPr>
    </w:lvl>
  </w:abstractNum>
  <w:abstractNum w:abstractNumId="10">
    <w:nsid w:val="0E5B619F"/>
    <w:multiLevelType w:val="multilevel"/>
    <w:tmpl w:val="CE869B2A"/>
    <w:lvl w:ilvl="0">
      <w:start w:val="1"/>
      <w:numFmt w:val="decimal"/>
      <w:lvlText w:val="%1."/>
      <w:lvlJc w:val="left"/>
      <w:pPr>
        <w:ind w:left="432" w:hanging="432"/>
      </w:pPr>
      <w:rPr>
        <w:rFonts w:cs="Times New Roman" w:hint="default"/>
        <w:color w:val="000000"/>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0ED66820"/>
    <w:multiLevelType w:val="multilevel"/>
    <w:tmpl w:val="C4F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147EBB"/>
    <w:multiLevelType w:val="hybridMultilevel"/>
    <w:tmpl w:val="A1D25CF4"/>
    <w:lvl w:ilvl="0" w:tplc="71320A8E">
      <w:start w:val="1"/>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F743B"/>
    <w:multiLevelType w:val="hybridMultilevel"/>
    <w:tmpl w:val="7DD274BA"/>
    <w:lvl w:ilvl="0" w:tplc="9E6AC228">
      <w:start w:val="1"/>
      <w:numFmt w:val="bullet"/>
      <w:lvlText w:val="•"/>
      <w:lvlJc w:val="left"/>
      <w:pPr>
        <w:tabs>
          <w:tab w:val="num" w:pos="720"/>
        </w:tabs>
        <w:ind w:left="720" w:hanging="360"/>
      </w:pPr>
      <w:rPr>
        <w:rFonts w:ascii="Arial" w:hAnsi="Arial" w:hint="default"/>
      </w:rPr>
    </w:lvl>
    <w:lvl w:ilvl="1" w:tplc="FC028EB0" w:tentative="1">
      <w:start w:val="1"/>
      <w:numFmt w:val="bullet"/>
      <w:lvlText w:val="•"/>
      <w:lvlJc w:val="left"/>
      <w:pPr>
        <w:tabs>
          <w:tab w:val="num" w:pos="1440"/>
        </w:tabs>
        <w:ind w:left="1440" w:hanging="360"/>
      </w:pPr>
      <w:rPr>
        <w:rFonts w:ascii="Arial" w:hAnsi="Arial" w:hint="default"/>
      </w:rPr>
    </w:lvl>
    <w:lvl w:ilvl="2" w:tplc="6D8C16B0" w:tentative="1">
      <w:start w:val="1"/>
      <w:numFmt w:val="bullet"/>
      <w:lvlText w:val="•"/>
      <w:lvlJc w:val="left"/>
      <w:pPr>
        <w:tabs>
          <w:tab w:val="num" w:pos="2160"/>
        </w:tabs>
        <w:ind w:left="2160" w:hanging="360"/>
      </w:pPr>
      <w:rPr>
        <w:rFonts w:ascii="Arial" w:hAnsi="Arial" w:hint="default"/>
      </w:rPr>
    </w:lvl>
    <w:lvl w:ilvl="3" w:tplc="B3F44256" w:tentative="1">
      <w:start w:val="1"/>
      <w:numFmt w:val="bullet"/>
      <w:lvlText w:val="•"/>
      <w:lvlJc w:val="left"/>
      <w:pPr>
        <w:tabs>
          <w:tab w:val="num" w:pos="2880"/>
        </w:tabs>
        <w:ind w:left="2880" w:hanging="360"/>
      </w:pPr>
      <w:rPr>
        <w:rFonts w:ascii="Arial" w:hAnsi="Arial" w:hint="default"/>
      </w:rPr>
    </w:lvl>
    <w:lvl w:ilvl="4" w:tplc="63D41296" w:tentative="1">
      <w:start w:val="1"/>
      <w:numFmt w:val="bullet"/>
      <w:lvlText w:val="•"/>
      <w:lvlJc w:val="left"/>
      <w:pPr>
        <w:tabs>
          <w:tab w:val="num" w:pos="3600"/>
        </w:tabs>
        <w:ind w:left="3600" w:hanging="360"/>
      </w:pPr>
      <w:rPr>
        <w:rFonts w:ascii="Arial" w:hAnsi="Arial" w:hint="default"/>
      </w:rPr>
    </w:lvl>
    <w:lvl w:ilvl="5" w:tplc="484C1D3C" w:tentative="1">
      <w:start w:val="1"/>
      <w:numFmt w:val="bullet"/>
      <w:lvlText w:val="•"/>
      <w:lvlJc w:val="left"/>
      <w:pPr>
        <w:tabs>
          <w:tab w:val="num" w:pos="4320"/>
        </w:tabs>
        <w:ind w:left="4320" w:hanging="360"/>
      </w:pPr>
      <w:rPr>
        <w:rFonts w:ascii="Arial" w:hAnsi="Arial" w:hint="default"/>
      </w:rPr>
    </w:lvl>
    <w:lvl w:ilvl="6" w:tplc="DC347320" w:tentative="1">
      <w:start w:val="1"/>
      <w:numFmt w:val="bullet"/>
      <w:lvlText w:val="•"/>
      <w:lvlJc w:val="left"/>
      <w:pPr>
        <w:tabs>
          <w:tab w:val="num" w:pos="5040"/>
        </w:tabs>
        <w:ind w:left="5040" w:hanging="360"/>
      </w:pPr>
      <w:rPr>
        <w:rFonts w:ascii="Arial" w:hAnsi="Arial" w:hint="default"/>
      </w:rPr>
    </w:lvl>
    <w:lvl w:ilvl="7" w:tplc="F18C40E0" w:tentative="1">
      <w:start w:val="1"/>
      <w:numFmt w:val="bullet"/>
      <w:lvlText w:val="•"/>
      <w:lvlJc w:val="left"/>
      <w:pPr>
        <w:tabs>
          <w:tab w:val="num" w:pos="5760"/>
        </w:tabs>
        <w:ind w:left="5760" w:hanging="360"/>
      </w:pPr>
      <w:rPr>
        <w:rFonts w:ascii="Arial" w:hAnsi="Arial" w:hint="default"/>
      </w:rPr>
    </w:lvl>
    <w:lvl w:ilvl="8" w:tplc="481832C2" w:tentative="1">
      <w:start w:val="1"/>
      <w:numFmt w:val="bullet"/>
      <w:lvlText w:val="•"/>
      <w:lvlJc w:val="left"/>
      <w:pPr>
        <w:tabs>
          <w:tab w:val="num" w:pos="6480"/>
        </w:tabs>
        <w:ind w:left="6480" w:hanging="360"/>
      </w:pPr>
      <w:rPr>
        <w:rFonts w:ascii="Arial" w:hAnsi="Arial" w:hint="default"/>
      </w:rPr>
    </w:lvl>
  </w:abstractNum>
  <w:abstractNum w:abstractNumId="14">
    <w:nsid w:val="1B722BB2"/>
    <w:multiLevelType w:val="hybridMultilevel"/>
    <w:tmpl w:val="E734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EA679D"/>
    <w:multiLevelType w:val="hybridMultilevel"/>
    <w:tmpl w:val="8FD2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1E673A"/>
    <w:multiLevelType w:val="hybridMultilevel"/>
    <w:tmpl w:val="D92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352531"/>
    <w:multiLevelType w:val="hybridMultilevel"/>
    <w:tmpl w:val="178CD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5850C9"/>
    <w:multiLevelType w:val="hybridMultilevel"/>
    <w:tmpl w:val="F07C46A2"/>
    <w:lvl w:ilvl="0" w:tplc="71320A8E">
      <w:start w:val="1"/>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5D6A6B"/>
    <w:multiLevelType w:val="multilevel"/>
    <w:tmpl w:val="803E4EB4"/>
    <w:lvl w:ilvl="0">
      <w:start w:val="1"/>
      <w:numFmt w:val="decimal"/>
      <w:pStyle w:val="Heading1"/>
      <w:lvlText w:val="%1."/>
      <w:lvlJc w:val="left"/>
      <w:pPr>
        <w:ind w:left="432" w:hanging="432"/>
      </w:pPr>
      <w:rPr>
        <w:rFonts w:cs="Times New Roman" w:hint="default"/>
        <w:color w:val="000000"/>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nsid w:val="2B6E4DAC"/>
    <w:multiLevelType w:val="hybridMultilevel"/>
    <w:tmpl w:val="0E8A46AE"/>
    <w:lvl w:ilvl="0" w:tplc="110E8DD2">
      <w:start w:val="1"/>
      <w:numFmt w:val="bullet"/>
      <w:lvlText w:val="o"/>
      <w:lvlJc w:val="left"/>
      <w:pPr>
        <w:tabs>
          <w:tab w:val="num" w:pos="720"/>
        </w:tabs>
        <w:ind w:left="720" w:hanging="360"/>
      </w:pPr>
      <w:rPr>
        <w:rFonts w:ascii="Courier New" w:hAnsi="Courier New" w:hint="default"/>
      </w:rPr>
    </w:lvl>
    <w:lvl w:ilvl="1" w:tplc="274AB97E" w:tentative="1">
      <w:start w:val="1"/>
      <w:numFmt w:val="bullet"/>
      <w:lvlText w:val="o"/>
      <w:lvlJc w:val="left"/>
      <w:pPr>
        <w:tabs>
          <w:tab w:val="num" w:pos="1440"/>
        </w:tabs>
        <w:ind w:left="1440" w:hanging="360"/>
      </w:pPr>
      <w:rPr>
        <w:rFonts w:ascii="Courier New" w:hAnsi="Courier New" w:hint="default"/>
      </w:rPr>
    </w:lvl>
    <w:lvl w:ilvl="2" w:tplc="A12477CE">
      <w:start w:val="1"/>
      <w:numFmt w:val="bullet"/>
      <w:lvlText w:val="o"/>
      <w:lvlJc w:val="left"/>
      <w:pPr>
        <w:tabs>
          <w:tab w:val="num" w:pos="2160"/>
        </w:tabs>
        <w:ind w:left="2160" w:hanging="360"/>
      </w:pPr>
      <w:rPr>
        <w:rFonts w:ascii="Courier New" w:hAnsi="Courier New" w:hint="default"/>
      </w:rPr>
    </w:lvl>
    <w:lvl w:ilvl="3" w:tplc="7662289A" w:tentative="1">
      <w:start w:val="1"/>
      <w:numFmt w:val="bullet"/>
      <w:lvlText w:val="o"/>
      <w:lvlJc w:val="left"/>
      <w:pPr>
        <w:tabs>
          <w:tab w:val="num" w:pos="2880"/>
        </w:tabs>
        <w:ind w:left="2880" w:hanging="360"/>
      </w:pPr>
      <w:rPr>
        <w:rFonts w:ascii="Courier New" w:hAnsi="Courier New" w:hint="default"/>
      </w:rPr>
    </w:lvl>
    <w:lvl w:ilvl="4" w:tplc="260E6966" w:tentative="1">
      <w:start w:val="1"/>
      <w:numFmt w:val="bullet"/>
      <w:lvlText w:val="o"/>
      <w:lvlJc w:val="left"/>
      <w:pPr>
        <w:tabs>
          <w:tab w:val="num" w:pos="3600"/>
        </w:tabs>
        <w:ind w:left="3600" w:hanging="360"/>
      </w:pPr>
      <w:rPr>
        <w:rFonts w:ascii="Courier New" w:hAnsi="Courier New" w:hint="default"/>
      </w:rPr>
    </w:lvl>
    <w:lvl w:ilvl="5" w:tplc="0F3CC342" w:tentative="1">
      <w:start w:val="1"/>
      <w:numFmt w:val="bullet"/>
      <w:lvlText w:val="o"/>
      <w:lvlJc w:val="left"/>
      <w:pPr>
        <w:tabs>
          <w:tab w:val="num" w:pos="4320"/>
        </w:tabs>
        <w:ind w:left="4320" w:hanging="360"/>
      </w:pPr>
      <w:rPr>
        <w:rFonts w:ascii="Courier New" w:hAnsi="Courier New" w:hint="default"/>
      </w:rPr>
    </w:lvl>
    <w:lvl w:ilvl="6" w:tplc="5942B498" w:tentative="1">
      <w:start w:val="1"/>
      <w:numFmt w:val="bullet"/>
      <w:lvlText w:val="o"/>
      <w:lvlJc w:val="left"/>
      <w:pPr>
        <w:tabs>
          <w:tab w:val="num" w:pos="5040"/>
        </w:tabs>
        <w:ind w:left="5040" w:hanging="360"/>
      </w:pPr>
      <w:rPr>
        <w:rFonts w:ascii="Courier New" w:hAnsi="Courier New" w:hint="default"/>
      </w:rPr>
    </w:lvl>
    <w:lvl w:ilvl="7" w:tplc="D66A626A" w:tentative="1">
      <w:start w:val="1"/>
      <w:numFmt w:val="bullet"/>
      <w:lvlText w:val="o"/>
      <w:lvlJc w:val="left"/>
      <w:pPr>
        <w:tabs>
          <w:tab w:val="num" w:pos="5760"/>
        </w:tabs>
        <w:ind w:left="5760" w:hanging="360"/>
      </w:pPr>
      <w:rPr>
        <w:rFonts w:ascii="Courier New" w:hAnsi="Courier New" w:hint="default"/>
      </w:rPr>
    </w:lvl>
    <w:lvl w:ilvl="8" w:tplc="E28EFF1E" w:tentative="1">
      <w:start w:val="1"/>
      <w:numFmt w:val="bullet"/>
      <w:lvlText w:val="o"/>
      <w:lvlJc w:val="left"/>
      <w:pPr>
        <w:tabs>
          <w:tab w:val="num" w:pos="6480"/>
        </w:tabs>
        <w:ind w:left="6480" w:hanging="360"/>
      </w:pPr>
      <w:rPr>
        <w:rFonts w:ascii="Courier New" w:hAnsi="Courier New" w:hint="default"/>
      </w:rPr>
    </w:lvl>
  </w:abstractNum>
  <w:abstractNum w:abstractNumId="21">
    <w:nsid w:val="2D7654A7"/>
    <w:multiLevelType w:val="hybridMultilevel"/>
    <w:tmpl w:val="C7B2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92E21"/>
    <w:multiLevelType w:val="hybridMultilevel"/>
    <w:tmpl w:val="A734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36EC3"/>
    <w:multiLevelType w:val="hybridMultilevel"/>
    <w:tmpl w:val="ED5C79B6"/>
    <w:lvl w:ilvl="0" w:tplc="71320A8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DD53EE"/>
    <w:multiLevelType w:val="multilevel"/>
    <w:tmpl w:val="CE869B2A"/>
    <w:lvl w:ilvl="0">
      <w:start w:val="1"/>
      <w:numFmt w:val="decimal"/>
      <w:lvlText w:val="%1."/>
      <w:lvlJc w:val="left"/>
      <w:pPr>
        <w:ind w:left="432" w:hanging="432"/>
      </w:pPr>
      <w:rPr>
        <w:rFonts w:cs="Times New Roman" w:hint="default"/>
        <w:color w:val="000000"/>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nsid w:val="44C85EB2"/>
    <w:multiLevelType w:val="hybridMultilevel"/>
    <w:tmpl w:val="40347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9F633D"/>
    <w:multiLevelType w:val="hybridMultilevel"/>
    <w:tmpl w:val="5A501D50"/>
    <w:lvl w:ilvl="0" w:tplc="71320A8E">
      <w:start w:val="1"/>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ED5FB4"/>
    <w:multiLevelType w:val="hybridMultilevel"/>
    <w:tmpl w:val="A0EE4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D893709"/>
    <w:multiLevelType w:val="hybridMultilevel"/>
    <w:tmpl w:val="174C1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9B4B22"/>
    <w:multiLevelType w:val="hybridMultilevel"/>
    <w:tmpl w:val="45949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F74E18"/>
    <w:multiLevelType w:val="hybridMultilevel"/>
    <w:tmpl w:val="6C28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DA4348"/>
    <w:multiLevelType w:val="hybridMultilevel"/>
    <w:tmpl w:val="158E3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2A2C31"/>
    <w:multiLevelType w:val="hybridMultilevel"/>
    <w:tmpl w:val="FDCAD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9B2522"/>
    <w:multiLevelType w:val="hybridMultilevel"/>
    <w:tmpl w:val="92149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2F2E33"/>
    <w:multiLevelType w:val="multilevel"/>
    <w:tmpl w:val="0A887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0037E"/>
    <w:multiLevelType w:val="hybridMultilevel"/>
    <w:tmpl w:val="4BEE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2D6377"/>
    <w:multiLevelType w:val="hybridMultilevel"/>
    <w:tmpl w:val="486A7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8D6FC4"/>
    <w:multiLevelType w:val="hybridMultilevel"/>
    <w:tmpl w:val="1578F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4D3C67"/>
    <w:multiLevelType w:val="hybridMultilevel"/>
    <w:tmpl w:val="4CCC9DC8"/>
    <w:lvl w:ilvl="0" w:tplc="71320A8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26"/>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38"/>
  </w:num>
  <w:num w:numId="18">
    <w:abstractNumId w:val="3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1"/>
  </w:num>
  <w:num w:numId="22">
    <w:abstractNumId w:val="17"/>
  </w:num>
  <w:num w:numId="23">
    <w:abstractNumId w:val="32"/>
  </w:num>
  <w:num w:numId="24">
    <w:abstractNumId w:val="37"/>
  </w:num>
  <w:num w:numId="25">
    <w:abstractNumId w:val="29"/>
  </w:num>
  <w:num w:numId="26">
    <w:abstractNumId w:val="30"/>
  </w:num>
  <w:num w:numId="27">
    <w:abstractNumId w:val="2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4"/>
  </w:num>
  <w:num w:numId="36">
    <w:abstractNumId w:val="3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6"/>
  </w:num>
  <w:num w:numId="40">
    <w:abstractNumId w:val="22"/>
  </w:num>
  <w:num w:numId="41">
    <w:abstractNumId w:val="31"/>
  </w:num>
  <w:num w:numId="42">
    <w:abstractNumId w:val="11"/>
  </w:num>
  <w:num w:numId="43">
    <w:abstractNumId w:val="23"/>
  </w:num>
  <w:num w:numId="44">
    <w:abstractNumId w:val="14"/>
  </w:num>
  <w:num w:numId="45">
    <w:abstractNumId w:val="13"/>
  </w:num>
  <w:num w:numId="46">
    <w:abstractNumId w:val="20"/>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pPr>
      <w:spacing w:after="60"/>
      <w:jc w:val="center"/>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caps/>
      <w:kern w:val="32"/>
      <w:sz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sz w:val="22"/>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locked/>
    <w:rPr>
      <w:rFonts w:ascii="Times New Roman" w:hAnsi="Times New Roman" w:cs="Times New Roman"/>
      <w:b/>
      <w:sz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pPr>
      <w:tabs>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pPr>
      <w:spacing w:after="60"/>
      <w:jc w:val="center"/>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caps/>
      <w:kern w:val="32"/>
      <w:sz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sz w:val="22"/>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locked/>
    <w:rPr>
      <w:rFonts w:ascii="Times New Roman" w:hAnsi="Times New Roman" w:cs="Times New Roman"/>
      <w:b/>
      <w:sz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pPr>
      <w:tabs>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582">
      <w:bodyDiv w:val="1"/>
      <w:marLeft w:val="0"/>
      <w:marRight w:val="0"/>
      <w:marTop w:val="0"/>
      <w:marBottom w:val="0"/>
      <w:divBdr>
        <w:top w:val="none" w:sz="0" w:space="0" w:color="auto"/>
        <w:left w:val="none" w:sz="0" w:space="0" w:color="auto"/>
        <w:bottom w:val="none" w:sz="0" w:space="0" w:color="auto"/>
        <w:right w:val="none" w:sz="0" w:space="0" w:color="auto"/>
      </w:divBdr>
    </w:div>
    <w:div w:id="351879962">
      <w:marLeft w:val="0"/>
      <w:marRight w:val="0"/>
      <w:marTop w:val="0"/>
      <w:marBottom w:val="0"/>
      <w:divBdr>
        <w:top w:val="none" w:sz="0" w:space="0" w:color="auto"/>
        <w:left w:val="none" w:sz="0" w:space="0" w:color="auto"/>
        <w:bottom w:val="none" w:sz="0" w:space="0" w:color="auto"/>
        <w:right w:val="none" w:sz="0" w:space="0" w:color="auto"/>
      </w:divBdr>
    </w:div>
    <w:div w:id="351879963">
      <w:marLeft w:val="0"/>
      <w:marRight w:val="0"/>
      <w:marTop w:val="0"/>
      <w:marBottom w:val="0"/>
      <w:divBdr>
        <w:top w:val="none" w:sz="0" w:space="0" w:color="auto"/>
        <w:left w:val="none" w:sz="0" w:space="0" w:color="auto"/>
        <w:bottom w:val="none" w:sz="0" w:space="0" w:color="auto"/>
        <w:right w:val="none" w:sz="0" w:space="0" w:color="auto"/>
      </w:divBdr>
    </w:div>
    <w:div w:id="351879965">
      <w:marLeft w:val="0"/>
      <w:marRight w:val="0"/>
      <w:marTop w:val="0"/>
      <w:marBottom w:val="0"/>
      <w:divBdr>
        <w:top w:val="none" w:sz="0" w:space="0" w:color="auto"/>
        <w:left w:val="none" w:sz="0" w:space="0" w:color="auto"/>
        <w:bottom w:val="none" w:sz="0" w:space="0" w:color="auto"/>
        <w:right w:val="none" w:sz="0" w:space="0" w:color="auto"/>
      </w:divBdr>
    </w:div>
    <w:div w:id="351879967">
      <w:marLeft w:val="0"/>
      <w:marRight w:val="0"/>
      <w:marTop w:val="0"/>
      <w:marBottom w:val="0"/>
      <w:divBdr>
        <w:top w:val="none" w:sz="0" w:space="0" w:color="auto"/>
        <w:left w:val="none" w:sz="0" w:space="0" w:color="auto"/>
        <w:bottom w:val="none" w:sz="0" w:space="0" w:color="auto"/>
        <w:right w:val="none" w:sz="0" w:space="0" w:color="auto"/>
      </w:divBdr>
      <w:divsChild>
        <w:div w:id="351879964">
          <w:marLeft w:val="0"/>
          <w:marRight w:val="0"/>
          <w:marTop w:val="0"/>
          <w:marBottom w:val="0"/>
          <w:divBdr>
            <w:top w:val="none" w:sz="0" w:space="0" w:color="auto"/>
            <w:left w:val="none" w:sz="0" w:space="0" w:color="auto"/>
            <w:bottom w:val="none" w:sz="0" w:space="0" w:color="auto"/>
            <w:right w:val="none" w:sz="0" w:space="0" w:color="auto"/>
          </w:divBdr>
        </w:div>
        <w:div w:id="351879968">
          <w:marLeft w:val="0"/>
          <w:marRight w:val="0"/>
          <w:marTop w:val="0"/>
          <w:marBottom w:val="0"/>
          <w:divBdr>
            <w:top w:val="none" w:sz="0" w:space="0" w:color="auto"/>
            <w:left w:val="none" w:sz="0" w:space="0" w:color="auto"/>
            <w:bottom w:val="none" w:sz="0" w:space="0" w:color="auto"/>
            <w:right w:val="none" w:sz="0" w:space="0" w:color="auto"/>
          </w:divBdr>
        </w:div>
        <w:div w:id="351879970">
          <w:marLeft w:val="0"/>
          <w:marRight w:val="0"/>
          <w:marTop w:val="0"/>
          <w:marBottom w:val="0"/>
          <w:divBdr>
            <w:top w:val="none" w:sz="0" w:space="0" w:color="auto"/>
            <w:left w:val="none" w:sz="0" w:space="0" w:color="auto"/>
            <w:bottom w:val="none" w:sz="0" w:space="0" w:color="auto"/>
            <w:right w:val="none" w:sz="0" w:space="0" w:color="auto"/>
          </w:divBdr>
        </w:div>
        <w:div w:id="351879972">
          <w:marLeft w:val="0"/>
          <w:marRight w:val="0"/>
          <w:marTop w:val="0"/>
          <w:marBottom w:val="0"/>
          <w:divBdr>
            <w:top w:val="none" w:sz="0" w:space="0" w:color="auto"/>
            <w:left w:val="none" w:sz="0" w:space="0" w:color="auto"/>
            <w:bottom w:val="none" w:sz="0" w:space="0" w:color="auto"/>
            <w:right w:val="none" w:sz="0" w:space="0" w:color="auto"/>
          </w:divBdr>
        </w:div>
        <w:div w:id="351879974">
          <w:marLeft w:val="0"/>
          <w:marRight w:val="0"/>
          <w:marTop w:val="0"/>
          <w:marBottom w:val="0"/>
          <w:divBdr>
            <w:top w:val="none" w:sz="0" w:space="0" w:color="auto"/>
            <w:left w:val="none" w:sz="0" w:space="0" w:color="auto"/>
            <w:bottom w:val="none" w:sz="0" w:space="0" w:color="auto"/>
            <w:right w:val="none" w:sz="0" w:space="0" w:color="auto"/>
          </w:divBdr>
        </w:div>
      </w:divsChild>
    </w:div>
    <w:div w:id="351879969">
      <w:marLeft w:val="0"/>
      <w:marRight w:val="0"/>
      <w:marTop w:val="0"/>
      <w:marBottom w:val="0"/>
      <w:divBdr>
        <w:top w:val="none" w:sz="0" w:space="0" w:color="auto"/>
        <w:left w:val="none" w:sz="0" w:space="0" w:color="auto"/>
        <w:bottom w:val="none" w:sz="0" w:space="0" w:color="auto"/>
        <w:right w:val="none" w:sz="0" w:space="0" w:color="auto"/>
      </w:divBdr>
    </w:div>
    <w:div w:id="351879971">
      <w:marLeft w:val="0"/>
      <w:marRight w:val="0"/>
      <w:marTop w:val="0"/>
      <w:marBottom w:val="0"/>
      <w:divBdr>
        <w:top w:val="none" w:sz="0" w:space="0" w:color="auto"/>
        <w:left w:val="none" w:sz="0" w:space="0" w:color="auto"/>
        <w:bottom w:val="none" w:sz="0" w:space="0" w:color="auto"/>
        <w:right w:val="none" w:sz="0" w:space="0" w:color="auto"/>
      </w:divBdr>
    </w:div>
    <w:div w:id="351879973">
      <w:marLeft w:val="0"/>
      <w:marRight w:val="0"/>
      <w:marTop w:val="0"/>
      <w:marBottom w:val="0"/>
      <w:divBdr>
        <w:top w:val="none" w:sz="0" w:space="0" w:color="auto"/>
        <w:left w:val="none" w:sz="0" w:space="0" w:color="auto"/>
        <w:bottom w:val="none" w:sz="0" w:space="0" w:color="auto"/>
        <w:right w:val="none" w:sz="0" w:space="0" w:color="auto"/>
      </w:divBdr>
      <w:divsChild>
        <w:div w:id="351879966">
          <w:marLeft w:val="0"/>
          <w:marRight w:val="0"/>
          <w:marTop w:val="0"/>
          <w:marBottom w:val="0"/>
          <w:divBdr>
            <w:top w:val="none" w:sz="0" w:space="0" w:color="auto"/>
            <w:left w:val="none" w:sz="0" w:space="0" w:color="auto"/>
            <w:bottom w:val="none" w:sz="0" w:space="0" w:color="auto"/>
            <w:right w:val="none" w:sz="0" w:space="0" w:color="auto"/>
          </w:divBdr>
        </w:div>
      </w:divsChild>
    </w:div>
    <w:div w:id="351879976">
      <w:marLeft w:val="0"/>
      <w:marRight w:val="0"/>
      <w:marTop w:val="0"/>
      <w:marBottom w:val="0"/>
      <w:divBdr>
        <w:top w:val="none" w:sz="0" w:space="0" w:color="auto"/>
        <w:left w:val="none" w:sz="0" w:space="0" w:color="auto"/>
        <w:bottom w:val="none" w:sz="0" w:space="0" w:color="auto"/>
        <w:right w:val="none" w:sz="0" w:space="0" w:color="auto"/>
      </w:divBdr>
    </w:div>
    <w:div w:id="351879977">
      <w:marLeft w:val="0"/>
      <w:marRight w:val="0"/>
      <w:marTop w:val="0"/>
      <w:marBottom w:val="0"/>
      <w:divBdr>
        <w:top w:val="none" w:sz="0" w:space="0" w:color="auto"/>
        <w:left w:val="none" w:sz="0" w:space="0" w:color="auto"/>
        <w:bottom w:val="none" w:sz="0" w:space="0" w:color="auto"/>
        <w:right w:val="none" w:sz="0" w:space="0" w:color="auto"/>
      </w:divBdr>
      <w:divsChild>
        <w:div w:id="351879975">
          <w:marLeft w:val="0"/>
          <w:marRight w:val="0"/>
          <w:marTop w:val="0"/>
          <w:marBottom w:val="0"/>
          <w:divBdr>
            <w:top w:val="none" w:sz="0" w:space="0" w:color="auto"/>
            <w:left w:val="none" w:sz="0" w:space="0" w:color="auto"/>
            <w:bottom w:val="none" w:sz="0" w:space="0" w:color="auto"/>
            <w:right w:val="none" w:sz="0" w:space="0" w:color="auto"/>
          </w:divBdr>
        </w:div>
        <w:div w:id="351879978">
          <w:marLeft w:val="0"/>
          <w:marRight w:val="0"/>
          <w:marTop w:val="0"/>
          <w:marBottom w:val="0"/>
          <w:divBdr>
            <w:top w:val="none" w:sz="0" w:space="0" w:color="auto"/>
            <w:left w:val="none" w:sz="0" w:space="0" w:color="auto"/>
            <w:bottom w:val="none" w:sz="0" w:space="0" w:color="auto"/>
            <w:right w:val="none" w:sz="0" w:space="0" w:color="auto"/>
          </w:divBdr>
        </w:div>
      </w:divsChild>
    </w:div>
    <w:div w:id="351879979">
      <w:marLeft w:val="0"/>
      <w:marRight w:val="0"/>
      <w:marTop w:val="0"/>
      <w:marBottom w:val="0"/>
      <w:divBdr>
        <w:top w:val="none" w:sz="0" w:space="0" w:color="auto"/>
        <w:left w:val="none" w:sz="0" w:space="0" w:color="auto"/>
        <w:bottom w:val="none" w:sz="0" w:space="0" w:color="auto"/>
        <w:right w:val="none" w:sz="0" w:space="0" w:color="auto"/>
      </w:divBdr>
    </w:div>
    <w:div w:id="351879980">
      <w:marLeft w:val="0"/>
      <w:marRight w:val="0"/>
      <w:marTop w:val="0"/>
      <w:marBottom w:val="0"/>
      <w:divBdr>
        <w:top w:val="none" w:sz="0" w:space="0" w:color="auto"/>
        <w:left w:val="none" w:sz="0" w:space="0" w:color="auto"/>
        <w:bottom w:val="none" w:sz="0" w:space="0" w:color="auto"/>
        <w:right w:val="none" w:sz="0" w:space="0" w:color="auto"/>
      </w:divBdr>
    </w:div>
    <w:div w:id="351879981">
      <w:marLeft w:val="0"/>
      <w:marRight w:val="0"/>
      <w:marTop w:val="0"/>
      <w:marBottom w:val="0"/>
      <w:divBdr>
        <w:top w:val="none" w:sz="0" w:space="0" w:color="auto"/>
        <w:left w:val="none" w:sz="0" w:space="0" w:color="auto"/>
        <w:bottom w:val="none" w:sz="0" w:space="0" w:color="auto"/>
        <w:right w:val="none" w:sz="0" w:space="0" w:color="auto"/>
      </w:divBdr>
    </w:div>
    <w:div w:id="429591511">
      <w:bodyDiv w:val="1"/>
      <w:marLeft w:val="0"/>
      <w:marRight w:val="0"/>
      <w:marTop w:val="0"/>
      <w:marBottom w:val="0"/>
      <w:divBdr>
        <w:top w:val="none" w:sz="0" w:space="0" w:color="auto"/>
        <w:left w:val="none" w:sz="0" w:space="0" w:color="auto"/>
        <w:bottom w:val="none" w:sz="0" w:space="0" w:color="auto"/>
        <w:right w:val="none" w:sz="0" w:space="0" w:color="auto"/>
      </w:divBdr>
    </w:div>
    <w:div w:id="574047795">
      <w:bodyDiv w:val="1"/>
      <w:marLeft w:val="0"/>
      <w:marRight w:val="0"/>
      <w:marTop w:val="0"/>
      <w:marBottom w:val="0"/>
      <w:divBdr>
        <w:top w:val="none" w:sz="0" w:space="0" w:color="auto"/>
        <w:left w:val="none" w:sz="0" w:space="0" w:color="auto"/>
        <w:bottom w:val="none" w:sz="0" w:space="0" w:color="auto"/>
        <w:right w:val="none" w:sz="0" w:space="0" w:color="auto"/>
      </w:divBdr>
    </w:div>
    <w:div w:id="7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930505007">
          <w:marLeft w:val="1800"/>
          <w:marRight w:val="0"/>
          <w:marTop w:val="110"/>
          <w:marBottom w:val="0"/>
          <w:divBdr>
            <w:top w:val="none" w:sz="0" w:space="0" w:color="auto"/>
            <w:left w:val="none" w:sz="0" w:space="0" w:color="auto"/>
            <w:bottom w:val="none" w:sz="0" w:space="0" w:color="auto"/>
            <w:right w:val="none" w:sz="0" w:space="0" w:color="auto"/>
          </w:divBdr>
        </w:div>
      </w:divsChild>
    </w:div>
    <w:div w:id="933902321">
      <w:bodyDiv w:val="1"/>
      <w:marLeft w:val="0"/>
      <w:marRight w:val="0"/>
      <w:marTop w:val="0"/>
      <w:marBottom w:val="0"/>
      <w:divBdr>
        <w:top w:val="none" w:sz="0" w:space="0" w:color="auto"/>
        <w:left w:val="none" w:sz="0" w:space="0" w:color="auto"/>
        <w:bottom w:val="none" w:sz="0" w:space="0" w:color="auto"/>
        <w:right w:val="none" w:sz="0" w:space="0" w:color="auto"/>
      </w:divBdr>
    </w:div>
    <w:div w:id="1066220287">
      <w:bodyDiv w:val="1"/>
      <w:marLeft w:val="0"/>
      <w:marRight w:val="0"/>
      <w:marTop w:val="0"/>
      <w:marBottom w:val="0"/>
      <w:divBdr>
        <w:top w:val="none" w:sz="0" w:space="0" w:color="auto"/>
        <w:left w:val="none" w:sz="0" w:space="0" w:color="auto"/>
        <w:bottom w:val="none" w:sz="0" w:space="0" w:color="auto"/>
        <w:right w:val="none" w:sz="0" w:space="0" w:color="auto"/>
      </w:divBdr>
      <w:divsChild>
        <w:div w:id="470097456">
          <w:marLeft w:val="0"/>
          <w:marRight w:val="0"/>
          <w:marTop w:val="0"/>
          <w:marBottom w:val="0"/>
          <w:divBdr>
            <w:top w:val="none" w:sz="0" w:space="0" w:color="auto"/>
            <w:left w:val="none" w:sz="0" w:space="0" w:color="auto"/>
            <w:bottom w:val="none" w:sz="0" w:space="0" w:color="auto"/>
            <w:right w:val="none" w:sz="0" w:space="0" w:color="auto"/>
          </w:divBdr>
        </w:div>
        <w:div w:id="851838317">
          <w:marLeft w:val="0"/>
          <w:marRight w:val="0"/>
          <w:marTop w:val="0"/>
          <w:marBottom w:val="0"/>
          <w:divBdr>
            <w:top w:val="none" w:sz="0" w:space="0" w:color="auto"/>
            <w:left w:val="none" w:sz="0" w:space="0" w:color="auto"/>
            <w:bottom w:val="none" w:sz="0" w:space="0" w:color="auto"/>
            <w:right w:val="none" w:sz="0" w:space="0" w:color="auto"/>
          </w:divBdr>
        </w:div>
      </w:divsChild>
    </w:div>
    <w:div w:id="1134328084">
      <w:bodyDiv w:val="1"/>
      <w:marLeft w:val="0"/>
      <w:marRight w:val="0"/>
      <w:marTop w:val="0"/>
      <w:marBottom w:val="0"/>
      <w:divBdr>
        <w:top w:val="none" w:sz="0" w:space="0" w:color="auto"/>
        <w:left w:val="none" w:sz="0" w:space="0" w:color="auto"/>
        <w:bottom w:val="none" w:sz="0" w:space="0" w:color="auto"/>
        <w:right w:val="none" w:sz="0" w:space="0" w:color="auto"/>
      </w:divBdr>
    </w:div>
    <w:div w:id="1221867980">
      <w:bodyDiv w:val="1"/>
      <w:marLeft w:val="0"/>
      <w:marRight w:val="0"/>
      <w:marTop w:val="0"/>
      <w:marBottom w:val="0"/>
      <w:divBdr>
        <w:top w:val="none" w:sz="0" w:space="0" w:color="auto"/>
        <w:left w:val="none" w:sz="0" w:space="0" w:color="auto"/>
        <w:bottom w:val="none" w:sz="0" w:space="0" w:color="auto"/>
        <w:right w:val="none" w:sz="0" w:space="0" w:color="auto"/>
      </w:divBdr>
      <w:divsChild>
        <w:div w:id="1817717780">
          <w:marLeft w:val="0"/>
          <w:marRight w:val="0"/>
          <w:marTop w:val="0"/>
          <w:marBottom w:val="0"/>
          <w:divBdr>
            <w:top w:val="none" w:sz="0" w:space="0" w:color="auto"/>
            <w:left w:val="none" w:sz="0" w:space="0" w:color="auto"/>
            <w:bottom w:val="none" w:sz="0" w:space="0" w:color="auto"/>
            <w:right w:val="none" w:sz="0" w:space="0" w:color="auto"/>
          </w:divBdr>
        </w:div>
        <w:div w:id="419831505">
          <w:marLeft w:val="0"/>
          <w:marRight w:val="0"/>
          <w:marTop w:val="0"/>
          <w:marBottom w:val="0"/>
          <w:divBdr>
            <w:top w:val="none" w:sz="0" w:space="0" w:color="auto"/>
            <w:left w:val="none" w:sz="0" w:space="0" w:color="auto"/>
            <w:bottom w:val="none" w:sz="0" w:space="0" w:color="auto"/>
            <w:right w:val="none" w:sz="0" w:space="0" w:color="auto"/>
          </w:divBdr>
        </w:div>
        <w:div w:id="1303122853">
          <w:marLeft w:val="0"/>
          <w:marRight w:val="0"/>
          <w:marTop w:val="0"/>
          <w:marBottom w:val="0"/>
          <w:divBdr>
            <w:top w:val="none" w:sz="0" w:space="0" w:color="auto"/>
            <w:left w:val="none" w:sz="0" w:space="0" w:color="auto"/>
            <w:bottom w:val="none" w:sz="0" w:space="0" w:color="auto"/>
            <w:right w:val="none" w:sz="0" w:space="0" w:color="auto"/>
          </w:divBdr>
        </w:div>
        <w:div w:id="649404802">
          <w:marLeft w:val="0"/>
          <w:marRight w:val="0"/>
          <w:marTop w:val="0"/>
          <w:marBottom w:val="0"/>
          <w:divBdr>
            <w:top w:val="none" w:sz="0" w:space="0" w:color="auto"/>
            <w:left w:val="none" w:sz="0" w:space="0" w:color="auto"/>
            <w:bottom w:val="none" w:sz="0" w:space="0" w:color="auto"/>
            <w:right w:val="none" w:sz="0" w:space="0" w:color="auto"/>
          </w:divBdr>
        </w:div>
        <w:div w:id="130294881">
          <w:marLeft w:val="0"/>
          <w:marRight w:val="0"/>
          <w:marTop w:val="0"/>
          <w:marBottom w:val="0"/>
          <w:divBdr>
            <w:top w:val="none" w:sz="0" w:space="0" w:color="auto"/>
            <w:left w:val="none" w:sz="0" w:space="0" w:color="auto"/>
            <w:bottom w:val="none" w:sz="0" w:space="0" w:color="auto"/>
            <w:right w:val="none" w:sz="0" w:space="0" w:color="auto"/>
          </w:divBdr>
        </w:div>
        <w:div w:id="764617062">
          <w:marLeft w:val="0"/>
          <w:marRight w:val="0"/>
          <w:marTop w:val="0"/>
          <w:marBottom w:val="0"/>
          <w:divBdr>
            <w:top w:val="none" w:sz="0" w:space="0" w:color="auto"/>
            <w:left w:val="none" w:sz="0" w:space="0" w:color="auto"/>
            <w:bottom w:val="none" w:sz="0" w:space="0" w:color="auto"/>
            <w:right w:val="none" w:sz="0" w:space="0" w:color="auto"/>
          </w:divBdr>
        </w:div>
        <w:div w:id="1017002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668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953">
      <w:bodyDiv w:val="1"/>
      <w:marLeft w:val="0"/>
      <w:marRight w:val="0"/>
      <w:marTop w:val="0"/>
      <w:marBottom w:val="0"/>
      <w:divBdr>
        <w:top w:val="none" w:sz="0" w:space="0" w:color="auto"/>
        <w:left w:val="none" w:sz="0" w:space="0" w:color="auto"/>
        <w:bottom w:val="none" w:sz="0" w:space="0" w:color="auto"/>
        <w:right w:val="none" w:sz="0" w:space="0" w:color="auto"/>
      </w:divBdr>
      <w:divsChild>
        <w:div w:id="311449288">
          <w:marLeft w:val="0"/>
          <w:marRight w:val="0"/>
          <w:marTop w:val="0"/>
          <w:marBottom w:val="0"/>
          <w:divBdr>
            <w:top w:val="none" w:sz="0" w:space="0" w:color="auto"/>
            <w:left w:val="none" w:sz="0" w:space="0" w:color="auto"/>
            <w:bottom w:val="none" w:sz="0" w:space="0" w:color="auto"/>
            <w:right w:val="none" w:sz="0" w:space="0" w:color="auto"/>
          </w:divBdr>
          <w:divsChild>
            <w:div w:id="793213224">
              <w:marLeft w:val="0"/>
              <w:marRight w:val="0"/>
              <w:marTop w:val="0"/>
              <w:marBottom w:val="0"/>
              <w:divBdr>
                <w:top w:val="none" w:sz="0" w:space="0" w:color="auto"/>
                <w:left w:val="none" w:sz="0" w:space="0" w:color="auto"/>
                <w:bottom w:val="none" w:sz="0" w:space="0" w:color="auto"/>
                <w:right w:val="none" w:sz="0" w:space="0" w:color="auto"/>
              </w:divBdr>
              <w:divsChild>
                <w:div w:id="1259293028">
                  <w:marLeft w:val="0"/>
                  <w:marRight w:val="0"/>
                  <w:marTop w:val="0"/>
                  <w:marBottom w:val="0"/>
                  <w:divBdr>
                    <w:top w:val="none" w:sz="0" w:space="0" w:color="auto"/>
                    <w:left w:val="none" w:sz="0" w:space="0" w:color="auto"/>
                    <w:bottom w:val="none" w:sz="0" w:space="0" w:color="auto"/>
                    <w:right w:val="none" w:sz="0" w:space="0" w:color="auto"/>
                  </w:divBdr>
                  <w:divsChild>
                    <w:div w:id="1580597924">
                      <w:marLeft w:val="0"/>
                      <w:marRight w:val="0"/>
                      <w:marTop w:val="0"/>
                      <w:marBottom w:val="0"/>
                      <w:divBdr>
                        <w:top w:val="none" w:sz="0" w:space="0" w:color="auto"/>
                        <w:left w:val="none" w:sz="0" w:space="0" w:color="auto"/>
                        <w:bottom w:val="none" w:sz="0" w:space="0" w:color="auto"/>
                        <w:right w:val="none" w:sz="0" w:space="0" w:color="auto"/>
                      </w:divBdr>
                      <w:divsChild>
                        <w:div w:id="1242911419">
                          <w:marLeft w:val="0"/>
                          <w:marRight w:val="0"/>
                          <w:marTop w:val="0"/>
                          <w:marBottom w:val="0"/>
                          <w:divBdr>
                            <w:top w:val="single" w:sz="6" w:space="0" w:color="C4C4C4"/>
                            <w:left w:val="single" w:sz="6" w:space="0" w:color="C4C4C4"/>
                            <w:bottom w:val="single" w:sz="6" w:space="0" w:color="C4C4C4"/>
                            <w:right w:val="single" w:sz="6" w:space="0" w:color="C4C4C4"/>
                          </w:divBdr>
                          <w:divsChild>
                            <w:div w:id="1339773043">
                              <w:marLeft w:val="0"/>
                              <w:marRight w:val="0"/>
                              <w:marTop w:val="0"/>
                              <w:marBottom w:val="0"/>
                              <w:divBdr>
                                <w:top w:val="none" w:sz="0" w:space="0" w:color="auto"/>
                                <w:left w:val="none" w:sz="0" w:space="0" w:color="auto"/>
                                <w:bottom w:val="none" w:sz="0" w:space="0" w:color="auto"/>
                                <w:right w:val="none" w:sz="0" w:space="0" w:color="auto"/>
                              </w:divBdr>
                              <w:divsChild>
                                <w:div w:id="795221056">
                                  <w:marLeft w:val="0"/>
                                  <w:marRight w:val="0"/>
                                  <w:marTop w:val="0"/>
                                  <w:marBottom w:val="0"/>
                                  <w:divBdr>
                                    <w:top w:val="none" w:sz="0" w:space="0" w:color="auto"/>
                                    <w:left w:val="none" w:sz="0" w:space="0" w:color="auto"/>
                                    <w:bottom w:val="none" w:sz="0" w:space="0" w:color="auto"/>
                                    <w:right w:val="none" w:sz="0" w:space="0" w:color="auto"/>
                                  </w:divBdr>
                                  <w:divsChild>
                                    <w:div w:id="1488084403">
                                      <w:marLeft w:val="0"/>
                                      <w:marRight w:val="0"/>
                                      <w:marTop w:val="0"/>
                                      <w:marBottom w:val="0"/>
                                      <w:divBdr>
                                        <w:top w:val="none" w:sz="0" w:space="0" w:color="auto"/>
                                        <w:left w:val="none" w:sz="0" w:space="0" w:color="auto"/>
                                        <w:bottom w:val="none" w:sz="0" w:space="0" w:color="auto"/>
                                        <w:right w:val="none" w:sz="0" w:space="0" w:color="auto"/>
                                      </w:divBdr>
                                      <w:divsChild>
                                        <w:div w:id="636493161">
                                          <w:marLeft w:val="0"/>
                                          <w:marRight w:val="0"/>
                                          <w:marTop w:val="0"/>
                                          <w:marBottom w:val="0"/>
                                          <w:divBdr>
                                            <w:top w:val="none" w:sz="0" w:space="0" w:color="auto"/>
                                            <w:left w:val="none" w:sz="0" w:space="0" w:color="auto"/>
                                            <w:bottom w:val="none" w:sz="0" w:space="0" w:color="auto"/>
                                            <w:right w:val="none" w:sz="0" w:space="0" w:color="auto"/>
                                          </w:divBdr>
                                          <w:divsChild>
                                            <w:div w:id="1469593196">
                                              <w:marLeft w:val="0"/>
                                              <w:marRight w:val="0"/>
                                              <w:marTop w:val="0"/>
                                              <w:marBottom w:val="0"/>
                                              <w:divBdr>
                                                <w:top w:val="none" w:sz="0" w:space="0" w:color="auto"/>
                                                <w:left w:val="none" w:sz="0" w:space="0" w:color="auto"/>
                                                <w:bottom w:val="none" w:sz="0" w:space="0" w:color="auto"/>
                                                <w:right w:val="none" w:sz="0" w:space="0" w:color="auto"/>
                                              </w:divBdr>
                                            </w:div>
                                            <w:div w:id="15954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275">
                              <w:marLeft w:val="0"/>
                              <w:marRight w:val="0"/>
                              <w:marTop w:val="0"/>
                              <w:marBottom w:val="0"/>
                              <w:divBdr>
                                <w:top w:val="single" w:sz="6" w:space="0" w:color="FFFFFF"/>
                                <w:left w:val="none" w:sz="0" w:space="0" w:color="auto"/>
                                <w:bottom w:val="none" w:sz="0" w:space="0" w:color="auto"/>
                                <w:right w:val="none" w:sz="0" w:space="0" w:color="auto"/>
                              </w:divBdr>
                              <w:divsChild>
                                <w:div w:id="1899629069">
                                  <w:marLeft w:val="0"/>
                                  <w:marRight w:val="0"/>
                                  <w:marTop w:val="0"/>
                                  <w:marBottom w:val="0"/>
                                  <w:divBdr>
                                    <w:top w:val="none" w:sz="0" w:space="0" w:color="auto"/>
                                    <w:left w:val="single" w:sz="6" w:space="8" w:color="FFFFFF"/>
                                    <w:bottom w:val="none" w:sz="0" w:space="0" w:color="auto"/>
                                    <w:right w:val="none" w:sz="0" w:space="0" w:color="auto"/>
                                  </w:divBdr>
                                </w:div>
                                <w:div w:id="902519888">
                                  <w:marLeft w:val="0"/>
                                  <w:marRight w:val="0"/>
                                  <w:marTop w:val="150"/>
                                  <w:marBottom w:val="0"/>
                                  <w:divBdr>
                                    <w:top w:val="none" w:sz="0" w:space="0" w:color="auto"/>
                                    <w:left w:val="none" w:sz="0" w:space="0" w:color="auto"/>
                                    <w:bottom w:val="none" w:sz="0" w:space="0" w:color="auto"/>
                                    <w:right w:val="none" w:sz="0" w:space="0" w:color="auto"/>
                                  </w:divBdr>
                                  <w:divsChild>
                                    <w:div w:id="6000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050">
          <w:marLeft w:val="0"/>
          <w:marRight w:val="0"/>
          <w:marTop w:val="0"/>
          <w:marBottom w:val="0"/>
          <w:divBdr>
            <w:top w:val="none" w:sz="0" w:space="0" w:color="auto"/>
            <w:left w:val="none" w:sz="0" w:space="0" w:color="auto"/>
            <w:bottom w:val="none" w:sz="0" w:space="0" w:color="auto"/>
            <w:right w:val="none" w:sz="0" w:space="0" w:color="auto"/>
          </w:divBdr>
          <w:divsChild>
            <w:div w:id="1746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8733">
      <w:bodyDiv w:val="1"/>
      <w:marLeft w:val="0"/>
      <w:marRight w:val="0"/>
      <w:marTop w:val="0"/>
      <w:marBottom w:val="0"/>
      <w:divBdr>
        <w:top w:val="none" w:sz="0" w:space="0" w:color="auto"/>
        <w:left w:val="none" w:sz="0" w:space="0" w:color="auto"/>
        <w:bottom w:val="none" w:sz="0" w:space="0" w:color="auto"/>
        <w:right w:val="none" w:sz="0" w:space="0" w:color="auto"/>
      </w:divBdr>
      <w:divsChild>
        <w:div w:id="1319730096">
          <w:marLeft w:val="547"/>
          <w:marRight w:val="0"/>
          <w:marTop w:val="120"/>
          <w:marBottom w:val="0"/>
          <w:divBdr>
            <w:top w:val="none" w:sz="0" w:space="0" w:color="auto"/>
            <w:left w:val="none" w:sz="0" w:space="0" w:color="auto"/>
            <w:bottom w:val="none" w:sz="0" w:space="0" w:color="auto"/>
            <w:right w:val="none" w:sz="0" w:space="0" w:color="auto"/>
          </w:divBdr>
        </w:div>
      </w:divsChild>
    </w:div>
    <w:div w:id="1378629432">
      <w:bodyDiv w:val="1"/>
      <w:marLeft w:val="0"/>
      <w:marRight w:val="0"/>
      <w:marTop w:val="0"/>
      <w:marBottom w:val="0"/>
      <w:divBdr>
        <w:top w:val="none" w:sz="0" w:space="0" w:color="auto"/>
        <w:left w:val="none" w:sz="0" w:space="0" w:color="auto"/>
        <w:bottom w:val="none" w:sz="0" w:space="0" w:color="auto"/>
        <w:right w:val="none" w:sz="0" w:space="0" w:color="auto"/>
      </w:divBdr>
    </w:div>
    <w:div w:id="1405448866">
      <w:bodyDiv w:val="1"/>
      <w:marLeft w:val="0"/>
      <w:marRight w:val="0"/>
      <w:marTop w:val="0"/>
      <w:marBottom w:val="0"/>
      <w:divBdr>
        <w:top w:val="none" w:sz="0" w:space="0" w:color="auto"/>
        <w:left w:val="none" w:sz="0" w:space="0" w:color="auto"/>
        <w:bottom w:val="none" w:sz="0" w:space="0" w:color="auto"/>
        <w:right w:val="none" w:sz="0" w:space="0" w:color="auto"/>
      </w:divBdr>
    </w:div>
    <w:div w:id="1612585559">
      <w:bodyDiv w:val="1"/>
      <w:marLeft w:val="0"/>
      <w:marRight w:val="0"/>
      <w:marTop w:val="0"/>
      <w:marBottom w:val="0"/>
      <w:divBdr>
        <w:top w:val="none" w:sz="0" w:space="0" w:color="auto"/>
        <w:left w:val="none" w:sz="0" w:space="0" w:color="auto"/>
        <w:bottom w:val="none" w:sz="0" w:space="0" w:color="auto"/>
        <w:right w:val="none" w:sz="0" w:space="0" w:color="auto"/>
      </w:divBdr>
      <w:divsChild>
        <w:div w:id="1503856479">
          <w:marLeft w:val="1166"/>
          <w:marRight w:val="0"/>
          <w:marTop w:val="115"/>
          <w:marBottom w:val="0"/>
          <w:divBdr>
            <w:top w:val="none" w:sz="0" w:space="0" w:color="auto"/>
            <w:left w:val="none" w:sz="0" w:space="0" w:color="auto"/>
            <w:bottom w:val="none" w:sz="0" w:space="0" w:color="auto"/>
            <w:right w:val="none" w:sz="0" w:space="0" w:color="auto"/>
          </w:divBdr>
        </w:div>
      </w:divsChild>
    </w:div>
    <w:div w:id="1673338791">
      <w:bodyDiv w:val="1"/>
      <w:marLeft w:val="0"/>
      <w:marRight w:val="0"/>
      <w:marTop w:val="0"/>
      <w:marBottom w:val="0"/>
      <w:divBdr>
        <w:top w:val="none" w:sz="0" w:space="0" w:color="auto"/>
        <w:left w:val="none" w:sz="0" w:space="0" w:color="auto"/>
        <w:bottom w:val="none" w:sz="0" w:space="0" w:color="auto"/>
        <w:right w:val="none" w:sz="0" w:space="0" w:color="auto"/>
      </w:divBdr>
      <w:divsChild>
        <w:div w:id="1088162219">
          <w:marLeft w:val="0"/>
          <w:marRight w:val="0"/>
          <w:marTop w:val="0"/>
          <w:marBottom w:val="0"/>
          <w:divBdr>
            <w:top w:val="none" w:sz="0" w:space="0" w:color="auto"/>
            <w:left w:val="none" w:sz="0" w:space="0" w:color="auto"/>
            <w:bottom w:val="none" w:sz="0" w:space="0" w:color="auto"/>
            <w:right w:val="none" w:sz="0" w:space="0" w:color="auto"/>
          </w:divBdr>
        </w:div>
        <w:div w:id="1632394460">
          <w:marLeft w:val="0"/>
          <w:marRight w:val="0"/>
          <w:marTop w:val="0"/>
          <w:marBottom w:val="0"/>
          <w:divBdr>
            <w:top w:val="none" w:sz="0" w:space="0" w:color="auto"/>
            <w:left w:val="none" w:sz="0" w:space="0" w:color="auto"/>
            <w:bottom w:val="none" w:sz="0" w:space="0" w:color="auto"/>
            <w:right w:val="none" w:sz="0" w:space="0" w:color="auto"/>
          </w:divBdr>
        </w:div>
        <w:div w:id="150802576">
          <w:marLeft w:val="0"/>
          <w:marRight w:val="0"/>
          <w:marTop w:val="0"/>
          <w:marBottom w:val="0"/>
          <w:divBdr>
            <w:top w:val="none" w:sz="0" w:space="0" w:color="auto"/>
            <w:left w:val="none" w:sz="0" w:space="0" w:color="auto"/>
            <w:bottom w:val="none" w:sz="0" w:space="0" w:color="auto"/>
            <w:right w:val="none" w:sz="0" w:space="0" w:color="auto"/>
          </w:divBdr>
        </w:div>
        <w:div w:id="1611739005">
          <w:marLeft w:val="0"/>
          <w:marRight w:val="0"/>
          <w:marTop w:val="0"/>
          <w:marBottom w:val="0"/>
          <w:divBdr>
            <w:top w:val="none" w:sz="0" w:space="0" w:color="auto"/>
            <w:left w:val="none" w:sz="0" w:space="0" w:color="auto"/>
            <w:bottom w:val="none" w:sz="0" w:space="0" w:color="auto"/>
            <w:right w:val="none" w:sz="0" w:space="0" w:color="auto"/>
          </w:divBdr>
        </w:div>
      </w:divsChild>
    </w:div>
    <w:div w:id="1857232017">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 w:id="1931812652">
      <w:bodyDiv w:val="1"/>
      <w:marLeft w:val="0"/>
      <w:marRight w:val="0"/>
      <w:marTop w:val="0"/>
      <w:marBottom w:val="0"/>
      <w:divBdr>
        <w:top w:val="none" w:sz="0" w:space="0" w:color="auto"/>
        <w:left w:val="none" w:sz="0" w:space="0" w:color="auto"/>
        <w:bottom w:val="none" w:sz="0" w:space="0" w:color="auto"/>
        <w:right w:val="none" w:sz="0" w:space="0" w:color="auto"/>
      </w:divBdr>
      <w:divsChild>
        <w:div w:id="2123184526">
          <w:marLeft w:val="0"/>
          <w:marRight w:val="0"/>
          <w:marTop w:val="0"/>
          <w:marBottom w:val="0"/>
          <w:divBdr>
            <w:top w:val="none" w:sz="0" w:space="0" w:color="auto"/>
            <w:left w:val="none" w:sz="0" w:space="0" w:color="auto"/>
            <w:bottom w:val="none" w:sz="0" w:space="0" w:color="auto"/>
            <w:right w:val="none" w:sz="0" w:space="0" w:color="auto"/>
          </w:divBdr>
          <w:divsChild>
            <w:div w:id="1293093652">
              <w:marLeft w:val="0"/>
              <w:marRight w:val="0"/>
              <w:marTop w:val="0"/>
              <w:marBottom w:val="0"/>
              <w:divBdr>
                <w:top w:val="none" w:sz="0" w:space="0" w:color="auto"/>
                <w:left w:val="none" w:sz="0" w:space="0" w:color="auto"/>
                <w:bottom w:val="none" w:sz="0" w:space="0" w:color="auto"/>
                <w:right w:val="none" w:sz="0" w:space="0" w:color="auto"/>
              </w:divBdr>
              <w:divsChild>
                <w:div w:id="97718735">
                  <w:marLeft w:val="0"/>
                  <w:marRight w:val="0"/>
                  <w:marTop w:val="0"/>
                  <w:marBottom w:val="0"/>
                  <w:divBdr>
                    <w:top w:val="none" w:sz="0" w:space="0" w:color="auto"/>
                    <w:left w:val="none" w:sz="0" w:space="0" w:color="auto"/>
                    <w:bottom w:val="none" w:sz="0" w:space="0" w:color="auto"/>
                    <w:right w:val="none" w:sz="0" w:space="0" w:color="auto"/>
                  </w:divBdr>
                  <w:divsChild>
                    <w:div w:id="1611158941">
                      <w:marLeft w:val="0"/>
                      <w:marRight w:val="0"/>
                      <w:marTop w:val="0"/>
                      <w:marBottom w:val="0"/>
                      <w:divBdr>
                        <w:top w:val="none" w:sz="0" w:space="0" w:color="auto"/>
                        <w:left w:val="none" w:sz="0" w:space="0" w:color="auto"/>
                        <w:bottom w:val="none" w:sz="0" w:space="0" w:color="auto"/>
                        <w:right w:val="none" w:sz="0" w:space="0" w:color="auto"/>
                      </w:divBdr>
                      <w:divsChild>
                        <w:div w:id="178665725">
                          <w:marLeft w:val="0"/>
                          <w:marRight w:val="0"/>
                          <w:marTop w:val="0"/>
                          <w:marBottom w:val="0"/>
                          <w:divBdr>
                            <w:top w:val="single" w:sz="6" w:space="0" w:color="C4C4C4"/>
                            <w:left w:val="single" w:sz="6" w:space="0" w:color="C4C4C4"/>
                            <w:bottom w:val="single" w:sz="6" w:space="0" w:color="C4C4C4"/>
                            <w:right w:val="single" w:sz="6" w:space="0" w:color="C4C4C4"/>
                          </w:divBdr>
                          <w:divsChild>
                            <w:div w:id="833759471">
                              <w:marLeft w:val="0"/>
                              <w:marRight w:val="0"/>
                              <w:marTop w:val="0"/>
                              <w:marBottom w:val="0"/>
                              <w:divBdr>
                                <w:top w:val="none" w:sz="0" w:space="0" w:color="auto"/>
                                <w:left w:val="none" w:sz="0" w:space="0" w:color="auto"/>
                                <w:bottom w:val="none" w:sz="0" w:space="0" w:color="auto"/>
                                <w:right w:val="none" w:sz="0" w:space="0" w:color="auto"/>
                              </w:divBdr>
                              <w:divsChild>
                                <w:div w:id="105740571">
                                  <w:marLeft w:val="0"/>
                                  <w:marRight w:val="0"/>
                                  <w:marTop w:val="0"/>
                                  <w:marBottom w:val="0"/>
                                  <w:divBdr>
                                    <w:top w:val="none" w:sz="0" w:space="0" w:color="auto"/>
                                    <w:left w:val="none" w:sz="0" w:space="0" w:color="auto"/>
                                    <w:bottom w:val="none" w:sz="0" w:space="0" w:color="auto"/>
                                    <w:right w:val="none" w:sz="0" w:space="0" w:color="auto"/>
                                  </w:divBdr>
                                  <w:divsChild>
                                    <w:div w:id="1233008187">
                                      <w:marLeft w:val="0"/>
                                      <w:marRight w:val="0"/>
                                      <w:marTop w:val="0"/>
                                      <w:marBottom w:val="0"/>
                                      <w:divBdr>
                                        <w:top w:val="none" w:sz="0" w:space="0" w:color="auto"/>
                                        <w:left w:val="none" w:sz="0" w:space="0" w:color="auto"/>
                                        <w:bottom w:val="none" w:sz="0" w:space="0" w:color="auto"/>
                                        <w:right w:val="none" w:sz="0" w:space="0" w:color="auto"/>
                                      </w:divBdr>
                                      <w:divsChild>
                                        <w:div w:id="1733506344">
                                          <w:marLeft w:val="0"/>
                                          <w:marRight w:val="0"/>
                                          <w:marTop w:val="0"/>
                                          <w:marBottom w:val="0"/>
                                          <w:divBdr>
                                            <w:top w:val="none" w:sz="0" w:space="0" w:color="auto"/>
                                            <w:left w:val="none" w:sz="0" w:space="0" w:color="auto"/>
                                            <w:bottom w:val="none" w:sz="0" w:space="0" w:color="auto"/>
                                            <w:right w:val="none" w:sz="0" w:space="0" w:color="auto"/>
                                          </w:divBdr>
                                          <w:divsChild>
                                            <w:div w:id="208811457">
                                              <w:marLeft w:val="0"/>
                                              <w:marRight w:val="0"/>
                                              <w:marTop w:val="0"/>
                                              <w:marBottom w:val="0"/>
                                              <w:divBdr>
                                                <w:top w:val="none" w:sz="0" w:space="0" w:color="auto"/>
                                                <w:left w:val="none" w:sz="0" w:space="0" w:color="auto"/>
                                                <w:bottom w:val="none" w:sz="0" w:space="0" w:color="auto"/>
                                                <w:right w:val="none" w:sz="0" w:space="0" w:color="auto"/>
                                              </w:divBdr>
                                            </w:div>
                                            <w:div w:id="9597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9670">
                              <w:marLeft w:val="0"/>
                              <w:marRight w:val="0"/>
                              <w:marTop w:val="0"/>
                              <w:marBottom w:val="0"/>
                              <w:divBdr>
                                <w:top w:val="single" w:sz="6" w:space="0" w:color="FFFFFF"/>
                                <w:left w:val="none" w:sz="0" w:space="0" w:color="auto"/>
                                <w:bottom w:val="none" w:sz="0" w:space="0" w:color="auto"/>
                                <w:right w:val="none" w:sz="0" w:space="0" w:color="auto"/>
                              </w:divBdr>
                              <w:divsChild>
                                <w:div w:id="2033846493">
                                  <w:marLeft w:val="0"/>
                                  <w:marRight w:val="0"/>
                                  <w:marTop w:val="0"/>
                                  <w:marBottom w:val="0"/>
                                  <w:divBdr>
                                    <w:top w:val="none" w:sz="0" w:space="0" w:color="auto"/>
                                    <w:left w:val="single" w:sz="6" w:space="8" w:color="FFFFFF"/>
                                    <w:bottom w:val="none" w:sz="0" w:space="0" w:color="auto"/>
                                    <w:right w:val="none" w:sz="0" w:space="0" w:color="auto"/>
                                  </w:divBdr>
                                </w:div>
                                <w:div w:id="970669985">
                                  <w:marLeft w:val="0"/>
                                  <w:marRight w:val="0"/>
                                  <w:marTop w:val="150"/>
                                  <w:marBottom w:val="0"/>
                                  <w:divBdr>
                                    <w:top w:val="none" w:sz="0" w:space="0" w:color="auto"/>
                                    <w:left w:val="none" w:sz="0" w:space="0" w:color="auto"/>
                                    <w:bottom w:val="none" w:sz="0" w:space="0" w:color="auto"/>
                                    <w:right w:val="none" w:sz="0" w:space="0" w:color="auto"/>
                                  </w:divBdr>
                                  <w:divsChild>
                                    <w:div w:id="331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53548">
          <w:marLeft w:val="0"/>
          <w:marRight w:val="0"/>
          <w:marTop w:val="0"/>
          <w:marBottom w:val="0"/>
          <w:divBdr>
            <w:top w:val="none" w:sz="0" w:space="0" w:color="auto"/>
            <w:left w:val="none" w:sz="0" w:space="0" w:color="auto"/>
            <w:bottom w:val="none" w:sz="0" w:space="0" w:color="auto"/>
            <w:right w:val="none" w:sz="0" w:space="0" w:color="auto"/>
          </w:divBdr>
          <w:divsChild>
            <w:div w:id="1019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an.dean@cox.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sacm.acm.org/members.cf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usacm.acm.org" TargetMode="External"/><Relationship Id="rId1" Type="http://schemas.openxmlformats.org/officeDocument/2006/relationships/hyperlink" Target="mailto:acmpo@hq.acm.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usacm.ac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F8E1-0E5E-4313-948C-6B3B1045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8498</Words>
  <Characters>48444</Characters>
  <Application>Microsoft Office Word</Application>
  <DocSecurity>0</DocSecurity>
  <Lines>403</Lines>
  <Paragraphs>113</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Basic Information</vt:lpstr>
      <vt:lpstr>    Leadership</vt:lpstr>
      <vt:lpstr>    Purpose</vt:lpstr>
      <vt:lpstr>    Committees</vt:lpstr>
      <vt:lpstr>    Meetings</vt:lpstr>
      <vt:lpstr>Project Summary</vt:lpstr>
      <vt:lpstr>    Multistakeholder Partnerships and Forums</vt:lpstr>
      <vt:lpstr>    Public Comments and Statements</vt:lpstr>
      <vt:lpstr>Plans for FISCAL YEAR 2017</vt:lpstr>
      <vt:lpstr>    Policy Projects in Fiscal Year 2017</vt:lpstr>
      <vt:lpstr>    Additional Projects in Fiscal Year 2017</vt:lpstr>
      <vt:lpstr/>
      <vt:lpstr/>
      <vt:lpstr/>
      <vt:lpstr>APPENDICES</vt:lpstr>
      <vt:lpstr>BASIC INFORMATION</vt:lpstr>
      <vt:lpstr>    Accessibility Committee Members</vt:lpstr>
      <vt:lpstr>    Purpose of the Accessibility Committee</vt:lpstr>
      <vt:lpstr>    Accessibility Committee Meetings</vt:lpstr>
      <vt:lpstr>PROJECT SUMMARY</vt:lpstr>
      <vt:lpstr>Plans</vt:lpstr>
      <vt:lpstr>    Proposed Projects</vt:lpstr>
      <vt:lpstr>BASIC INFORMATION</vt:lpstr>
      <vt:lpstr>    Digital Governance Committee Members</vt:lpstr>
      <vt:lpstr>    Purpose of the Digital Governance Committee</vt:lpstr>
      <vt:lpstr>    Digital Governance Committee Meetings</vt:lpstr>
      <vt:lpstr>PROJECT SUMMARY</vt:lpstr>
      <vt:lpstr>Plans</vt:lpstr>
      <vt:lpstr>    Proposed Projects</vt:lpstr>
      <vt:lpstr>BASIC INFORMATION</vt:lpstr>
      <vt:lpstr>    Intellectual Property Committee Members</vt:lpstr>
      <vt:lpstr>    Purpose of the Intellectual Property Committee</vt:lpstr>
      <vt:lpstr>    Intellectual Property Committee Meetings</vt:lpstr>
      <vt:lpstr>PROJECT SUMMARY</vt:lpstr>
      <vt:lpstr>Plans</vt:lpstr>
      <vt:lpstr>    Proposed Projects</vt:lpstr>
      <vt:lpstr>BASIC INFORMATION</vt:lpstr>
      <vt:lpstr>    Law Committee Members</vt:lpstr>
      <vt:lpstr>    Purpose of the Law Committee</vt:lpstr>
      <vt:lpstr>    Law Committee Meetings</vt:lpstr>
      <vt:lpstr>PROJECT SUMMARY</vt:lpstr>
      <vt:lpstr>Plans</vt:lpstr>
      <vt:lpstr>BASIC INFORMATION</vt:lpstr>
      <vt:lpstr>    Privacy Committee Members</vt:lpstr>
      <vt:lpstr>    Purpose of the Privacy Committee</vt:lpstr>
      <vt:lpstr>    Privacy Committee Meetings</vt:lpstr>
      <vt:lpstr>PROJECT SUMMARY</vt:lpstr>
      <vt:lpstr>Plans</vt:lpstr>
      <vt:lpstr>    Proposed Projects</vt:lpstr>
      <vt:lpstr>BASIC INFORMATION</vt:lpstr>
      <vt:lpstr>    Security Committee Members</vt:lpstr>
      <vt:lpstr>    Purpose of the Security Committee</vt:lpstr>
      <vt:lpstr>    Security Committee Meetings</vt:lpstr>
      <vt:lpstr>Committee business is conducted by listserv discussions and monthly Committee ca</vt:lpstr>
      <vt:lpstr>PROJECT SUMMARY</vt:lpstr>
      <vt:lpstr>Plans</vt:lpstr>
      <vt:lpstr>    Proposed Projects</vt:lpstr>
      <vt:lpstr>BASIC INFORMATION</vt:lpstr>
      <vt:lpstr>    Voting Committee Members</vt:lpstr>
      <vt:lpstr>    Purpose of the Voting Committee</vt:lpstr>
      <vt:lpstr>    Voting Committee Meetings</vt:lpstr>
      <vt:lpstr>PROJECT SUMMARY</vt:lpstr>
      <vt:lpstr>Plans</vt:lpstr>
      <vt:lpstr>    Proposed Projects</vt:lpstr>
    </vt:vector>
  </TitlesOfParts>
  <Company/>
  <LinksUpToDate>false</LinksUpToDate>
  <CharactersWithSpaces>56829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Editor2</cp:lastModifiedBy>
  <cp:revision>6</cp:revision>
  <cp:lastPrinted>2016-08-19T14:11:00Z</cp:lastPrinted>
  <dcterms:created xsi:type="dcterms:W3CDTF">2016-08-19T13:22:00Z</dcterms:created>
  <dcterms:modified xsi:type="dcterms:W3CDTF">2016-08-19T14:12:00Z</dcterms:modified>
</cp:coreProperties>
</file>